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管理层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卓林双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焦玮</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李丽英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2020年11月27日</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 xml:space="preserve">QEO </w:t>
            </w:r>
            <w:r>
              <w:rPr>
                <w:rFonts w:hint="eastAsia" w:asciiTheme="minorEastAsia" w:hAnsiTheme="minorEastAsia" w:eastAsiaTheme="minorEastAsia" w:cstheme="minorEastAsia"/>
                <w:sz w:val="21"/>
                <w:szCs w:val="21"/>
              </w:rPr>
              <w:t>4.1/4.3/4.4/5.2/6.2/9.2/9.3/7.1</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资质查验</w:t>
            </w:r>
          </w:p>
        </w:tc>
        <w:tc>
          <w:tcPr>
            <w:tcW w:w="960" w:type="dxa"/>
            <w:vAlign w:val="center"/>
          </w:tcPr>
          <w:p>
            <w:pPr>
              <w:rPr>
                <w:rFonts w:hint="eastAsia" w:asciiTheme="minorEastAsia" w:hAnsiTheme="minorEastAsia" w:eastAsiaTheme="minorEastAsia" w:cstheme="minorEastAsia"/>
                <w:sz w:val="21"/>
                <w:szCs w:val="21"/>
              </w:rPr>
            </w:pP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彤博士健康产业河北有限公司成立于 2018 年 8 月，地址位于石家庄高新技术开发 区兴安大街 153 号，公司集研发、设计、生产、销售于一体，是彤博士投资、规划建设 的新兴产业公司，是彤博士大健康产业运营链下的产品研发及生产基地，工厂筹建前期 与中国科技大学、沈阳药科大学等科研机构进行了战略合作，为产品的研发与工艺改进 提供强有力的技术支持。公司研发的产品涵盖特殊膳食食品、保健食品、饮料、糖果制品、食用油、油脂及其制品、调味品等。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企业营业执照（副本），统一社会信用代码：91130108MAOCM9WT38，成立日期：2018年8月29日，营业期间至2038年8月28日。经营范围：生物技术推广应用，企业形象策划......；饮料、糖果制品、乳制品、保健食品、婴幼儿配方食品、特殊医学用途配方食品......食用油、油脂及其制品、化妆品、卫生用品、日用品的生产和销售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排污许可证：企业排污许可以登记备案形式。提供全国排污许可证信息管理平台截图，河北省彤博士健康产业河北有限公司，等级状态：审批通过，提交时间：2019年10月24日。</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安全生产许可证：企业产品不涉及危化品，未发放安全生产许可证。</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危险化学品经营许可证：不涉及危化品生产经营，只涉及部分危化品使用，不需办理危化品经营许可证。</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食品生产经营许可证：许可证编号：SC10613010900416，发证日期：202.10.19，有效期至2024.9.18</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食品生产许可品种明细表：饮料；食用油、油脂及其制品；调味剂。</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val="0"/>
                <w:spacing w:val="0"/>
                <w:kern w:val="2"/>
                <w:sz w:val="21"/>
                <w:szCs w:val="21"/>
                <w:lang w:val="en-US" w:eastAsia="zh-CN" w:bidi="ar-SA"/>
              </w:rPr>
              <w:t>其他资质：无</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管理体系策划情况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过程识别和策划的充分性（包括外包过程）</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O</w:t>
            </w:r>
            <w:r>
              <w:rPr>
                <w:rFonts w:hint="eastAsia" w:asciiTheme="minorEastAsia" w:hAnsiTheme="minorEastAsia" w:eastAsiaTheme="minorEastAsia" w:cstheme="minorEastAsia"/>
                <w:sz w:val="21"/>
                <w:szCs w:val="21"/>
              </w:rPr>
              <w:t>: 4.1/4.4</w:t>
            </w:r>
          </w:p>
        </w:tc>
        <w:tc>
          <w:tcPr>
            <w:tcW w:w="10770" w:type="dxa"/>
          </w:tcPr>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策划了质量、环境和职业健康安全管理体系的建设工作，各层级已识别确定与公司宗旨和战略方向相关的并影响实现公司质量、环境、职业健康安全管理体系预期结果能力的外部和内部问题（因素），包括受公司影响或者能够影响公司的环境状况。外部、内部问题（因素）分析结果为确定建立管理体系、确定应对风险和机遇的措施、策划识别风险及控制措施的要求，策划了QES管理体系的范围及体系，编制了QES管理体系手册，法律法规的收集及评价、开展了标准的培训，内部审核、管理评审等活动。策划了包括控制程序、管理制度、管理办法、操作规程、实施记录等文件化信息。</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企业本项目外包过程——运输过程。提供《运输协议》，乙方：高新区盛博货运服务部，甲方指定乙方代理其航空、海运、陆运、快递等运输服务，约定了双方的责任和义务。</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确定认证范围包括任何不适用及理由的充分性</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4.3</w:t>
            </w:r>
          </w:p>
        </w:tc>
        <w:tc>
          <w:tcPr>
            <w:tcW w:w="10770" w:type="dxa"/>
          </w:tcPr>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提供的管理手册适用范围：适用于公司饮料、食用油、油脂及其制品、调味品等生产及销售服务的质量管理以及所涉及的环境职业健康安全管理。</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本次QEO</w:t>
            </w:r>
            <w:r>
              <w:rPr>
                <w:rFonts w:hint="eastAsia" w:asciiTheme="minorEastAsia" w:hAnsiTheme="minorEastAsia" w:eastAsiaTheme="minorEastAsia" w:cstheme="minorEastAsia"/>
                <w:sz w:val="21"/>
                <w:szCs w:val="21"/>
                <w:lang w:val="zh-CN" w:eastAsia="zh-CN"/>
              </w:rPr>
              <w:t>管理体系</w:t>
            </w:r>
            <w:r>
              <w:rPr>
                <w:rFonts w:hint="eastAsia" w:asciiTheme="minorEastAsia" w:hAnsiTheme="minorEastAsia" w:eastAsiaTheme="minorEastAsia" w:cstheme="minorEastAsia"/>
                <w:sz w:val="21"/>
                <w:szCs w:val="21"/>
                <w:lang w:val="en-US" w:eastAsia="zh-CN"/>
              </w:rPr>
              <w:t>审核</w:t>
            </w:r>
            <w:r>
              <w:rPr>
                <w:rFonts w:hint="eastAsia" w:asciiTheme="minorEastAsia" w:hAnsiTheme="minorEastAsia" w:eastAsiaTheme="minorEastAsia" w:cstheme="minorEastAsia"/>
                <w:sz w:val="21"/>
                <w:szCs w:val="21"/>
                <w:lang w:val="zh-CN" w:eastAsia="zh-CN"/>
              </w:rPr>
              <w:t>的范围：</w:t>
            </w:r>
            <w:bookmarkStart w:id="0" w:name="审核范围"/>
            <w:r>
              <w:rPr>
                <w:rFonts w:hint="eastAsia" w:asciiTheme="minorEastAsia" w:hAnsiTheme="minorEastAsia" w:eastAsiaTheme="minorEastAsia" w:cstheme="minorEastAsia"/>
                <w:sz w:val="21"/>
                <w:szCs w:val="21"/>
              </w:rPr>
              <w:t>Q：许可范围内的食用油、油脂及其制品的生产及销售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E：许可范围内的食用油、油脂及其制品的生产及销售所涉及场所的相关环境管理活动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O：许可范围内的食用油、油脂及其制品的生产及销售所涉及场所的相关职业健康安全管理活动</w:t>
            </w:r>
            <w:bookmarkEnd w:id="0"/>
            <w:r>
              <w:rPr>
                <w:rFonts w:hint="eastAsia" w:asciiTheme="minorEastAsia" w:hAnsiTheme="minorEastAsia" w:eastAsiaTheme="minorEastAsia" w:cstheme="minorEastAsia"/>
                <w:sz w:val="21"/>
                <w:szCs w:val="21"/>
                <w:lang w:val="en-US" w:eastAsia="zh-CN"/>
              </w:rPr>
              <w:t>。与企业营业执照范围一致。</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认证范围适宜，理由充分。</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体系覆盖人数确认</w:t>
            </w:r>
          </w:p>
        </w:tc>
        <w:tc>
          <w:tcPr>
            <w:tcW w:w="960" w:type="dxa"/>
          </w:tcPr>
          <w:p>
            <w:pPr>
              <w:rPr>
                <w:rFonts w:hint="eastAsia" w:asciiTheme="minorEastAsia" w:hAnsiTheme="minorEastAsia" w:eastAsiaTheme="minorEastAsia" w:cstheme="minorEastAsia"/>
                <w:sz w:val="21"/>
                <w:szCs w:val="21"/>
                <w:lang w:val="en-US" w:eastAsia="zh-CN"/>
              </w:rPr>
            </w:pP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提供《彤博士健康产业人员名单》共计42人（刚离职2人），还剩40人。生产部15人，行政部5人（包括总经理），质量部10人，营销部5人，供应部2人，研发部3人，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研究生1人，本科学历8人，大专学历16人，中转/技校9人，高中生6人。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提供《工伤保险费核定表》2020.11，缴纳人数28人。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提供《社会保险费通知单》2020.11社会保险参保人数28人：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提供《社会保险申请单》失业保险参保人28人；</w:t>
            </w:r>
          </w:p>
          <w:p>
            <w:pP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lang w:val="en-US" w:eastAsia="zh-CN"/>
              </w:rPr>
              <w:t>提供《2020年12月 石家庄市医疗保险基金申报表》申请人数24人，已缴纳。</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组织机构领导承诺及职责权限</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5.1/5.3</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明确了企业高层领导和各专业的职责和权限，最高管理者对质量、环境、职业健康安全管理体系的领导作用和承诺,确保制定质量、环境、职业健康安全管理体系的管理方针和目标,并与组织环境和战略方向相一致；确保质量、环境、职业健康安全管理体系要求融入与组织的业务过程；促进使用过程方法和基于风险的思维；确保获得质量、环境、职业健康安全管理体系所需的资源；沟通有效的质量管理和符合质量、环境、职业健康安全管理体系要求的重要性；确保实现质量、环境、职业健康安全管理体系的预期结果；促使、指导和支持员工努力提高质量、环境、职业健康安全管理体系的有效性；推动改进；支持其他管理者履行其相关领域的职责；按策划的要求进行管理评审。 </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根据部门设置，对质量、环境、职业健康安全管理职责进行分工，制定“管理职能分配表”和管理手册附录B“质量、环境、职业健康安全管理职能分配表”。</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各单位职责明确，各负其责。</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管理方针和目标的适宜性</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5.2/6.2</w:t>
            </w:r>
          </w:p>
        </w:tc>
        <w:tc>
          <w:tcPr>
            <w:tcW w:w="10770" w:type="dxa"/>
          </w:tcPr>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制定了管理方针：以质量求生存。以</w:t>
            </w:r>
            <w:r>
              <w:rPr>
                <w:rFonts w:hint="eastAsia" w:asciiTheme="minorEastAsia" w:hAnsiTheme="minorEastAsia" w:eastAsiaTheme="minorEastAsia" w:cstheme="minorEastAsia"/>
                <w:sz w:val="21"/>
                <w:szCs w:val="21"/>
                <w:lang w:val="zh-CN" w:eastAsia="zh-CN"/>
              </w:rPr>
              <w:t>创新</w:t>
            </w:r>
            <w:r>
              <w:rPr>
                <w:rFonts w:hint="eastAsia" w:asciiTheme="minorEastAsia" w:hAnsiTheme="minorEastAsia" w:eastAsiaTheme="minorEastAsia" w:cstheme="minorEastAsia"/>
                <w:sz w:val="21"/>
                <w:szCs w:val="21"/>
                <w:lang w:val="en-US" w:eastAsia="zh-CN"/>
              </w:rPr>
              <w:t>谋发展</w:t>
            </w:r>
            <w:r>
              <w:rPr>
                <w:rFonts w:hint="eastAsia" w:asciiTheme="minorEastAsia" w:hAnsiTheme="minorEastAsia" w:eastAsiaTheme="minorEastAsia" w:cstheme="minorEastAsia"/>
                <w:sz w:val="21"/>
                <w:szCs w:val="21"/>
                <w:lang w:val="zh-CN" w:eastAsia="zh-CN"/>
              </w:rPr>
              <w:t>，</w:t>
            </w:r>
            <w:r>
              <w:rPr>
                <w:rFonts w:hint="eastAsia" w:asciiTheme="minorEastAsia" w:hAnsiTheme="minorEastAsia" w:eastAsiaTheme="minorEastAsia" w:cstheme="minorEastAsia"/>
                <w:sz w:val="21"/>
                <w:szCs w:val="21"/>
                <w:lang w:val="en-US" w:eastAsia="zh-CN"/>
              </w:rPr>
              <w:t>以健康筑未来</w:t>
            </w:r>
            <w:r>
              <w:rPr>
                <w:rFonts w:hint="eastAsia" w:asciiTheme="minorEastAsia" w:hAnsiTheme="minorEastAsia" w:eastAsiaTheme="minorEastAsia" w:cstheme="minorEastAsia"/>
                <w:sz w:val="21"/>
                <w:szCs w:val="21"/>
                <w:lang w:val="zh-CN"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eastAsia="zh-CN"/>
              </w:rPr>
              <w:t xml:space="preserve">  方针的含义：</w:t>
            </w:r>
            <w:r>
              <w:rPr>
                <w:rFonts w:hint="eastAsia" w:asciiTheme="minorEastAsia" w:hAnsiTheme="minorEastAsia" w:eastAsiaTheme="minorEastAsia" w:cstheme="minorEastAsia"/>
                <w:sz w:val="21"/>
                <w:szCs w:val="21"/>
                <w:lang w:val="en-US" w:eastAsia="zh-CN"/>
              </w:rPr>
              <w:t>遵守国家法律法规，全面培训员工，提高全员素质，强化质量/环境/安全意识。控制货物采购质量，并向相关方施加影响，评定合格的供方。施行安全第一、污染预防、强化质量的全过程控制，严格按标准及顾客要求组织实施质量控制，做好产品标识，保证质量的可追溯性；严把产品质量关，确保“不合格原料不采购、不合格成品不出售”。加强产品售后服务，及时处理顾客投诉，增进顾客满意度。切实贯彻执行GB/T 19001-2016、GB/T24001-2016、GB/T45001-2020标准要求，实施全面优质管理，不断完善和持续改进质量、环境、职业健康安全管理体系，不断改进产品和服务质量。</w:t>
            </w:r>
          </w:p>
          <w:p>
            <w:pPr>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en-US" w:eastAsia="zh-CN"/>
              </w:rPr>
              <w:t>公司</w:t>
            </w:r>
            <w:r>
              <w:rPr>
                <w:rFonts w:hint="eastAsia" w:asciiTheme="minorEastAsia" w:hAnsiTheme="minorEastAsia" w:eastAsiaTheme="minorEastAsia" w:cstheme="minorEastAsia"/>
                <w:b/>
                <w:bCs/>
                <w:sz w:val="21"/>
                <w:szCs w:val="21"/>
                <w:lang w:val="zh-CN" w:eastAsia="zh-CN"/>
              </w:rPr>
              <w:t>质量目标</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产品出厂合格率100%；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产品抽检合格率100%；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客户投诉处理率100%；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重大质量事故为0。</w:t>
            </w:r>
          </w:p>
          <w:p>
            <w:pPr>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en-US" w:eastAsia="zh-CN"/>
              </w:rPr>
              <w:t>公司</w:t>
            </w:r>
            <w:r>
              <w:rPr>
                <w:rFonts w:hint="eastAsia" w:asciiTheme="minorEastAsia" w:hAnsiTheme="minorEastAsia" w:eastAsiaTheme="minorEastAsia" w:cstheme="minorEastAsia"/>
                <w:b/>
                <w:bCs/>
                <w:sz w:val="21"/>
                <w:szCs w:val="21"/>
                <w:lang w:val="zh-CN" w:eastAsia="zh-CN"/>
              </w:rPr>
              <w:t>环境目标、指标</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1、固体废弃物分类回收率100%；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2、杜绝火灾事故发生；</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3、节能降耗。</w:t>
            </w:r>
          </w:p>
          <w:p>
            <w:pPr>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en-US" w:eastAsia="zh-CN"/>
              </w:rPr>
              <w:t>公司</w:t>
            </w:r>
            <w:r>
              <w:rPr>
                <w:rFonts w:hint="eastAsia" w:asciiTheme="minorEastAsia" w:hAnsiTheme="minorEastAsia" w:eastAsiaTheme="minorEastAsia" w:cstheme="minorEastAsia"/>
                <w:b/>
                <w:bCs/>
                <w:sz w:val="21"/>
                <w:szCs w:val="21"/>
                <w:lang w:val="zh-CN" w:eastAsia="zh-CN"/>
              </w:rPr>
              <w:t>职业健康安全目标、指标</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1、杜绝火灾触电事故发生；</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2、杜绝职业病发生。</w:t>
            </w:r>
          </w:p>
          <w:p>
            <w:pPr>
              <w:rPr>
                <w:rFonts w:hint="eastAsia" w:asciiTheme="minorEastAsia" w:hAnsiTheme="minorEastAsia" w:eastAsiaTheme="minorEastAsia" w:cstheme="minorEastAsia"/>
                <w:color w:val="FF0000"/>
                <w:sz w:val="21"/>
                <w:szCs w:val="21"/>
                <w:lang w:val="en-US" w:eastAsia="zh-CN" w:bidi="ar"/>
              </w:rPr>
            </w:pPr>
            <w:r>
              <w:rPr>
                <w:rFonts w:hint="eastAsia" w:asciiTheme="minorEastAsia" w:hAnsiTheme="minorEastAsia" w:eastAsiaTheme="minorEastAsia" w:cstheme="minorEastAsia"/>
                <w:sz w:val="21"/>
                <w:szCs w:val="21"/>
                <w:lang w:val="en-US" w:eastAsia="zh-CN"/>
              </w:rPr>
              <w:t>目标的选取基本合理适宜。</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基础资源条件</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 7.1</w:t>
            </w:r>
          </w:p>
        </w:tc>
        <w:tc>
          <w:tcPr>
            <w:tcW w:w="10770" w:type="dxa"/>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公司确定并提供建立、实施、维护和持续改进</w:t>
            </w:r>
            <w:r>
              <w:rPr>
                <w:rFonts w:hint="eastAsia" w:asciiTheme="minorEastAsia" w:hAnsiTheme="minorEastAsia" w:eastAsiaTheme="minorEastAsia" w:cstheme="minorEastAsia"/>
                <w:sz w:val="21"/>
                <w:szCs w:val="21"/>
                <w:lang w:val="en-US" w:eastAsia="zh-CN"/>
              </w:rPr>
              <w:t>QEO管理体系</w:t>
            </w:r>
            <w:r>
              <w:rPr>
                <w:rFonts w:hint="eastAsia" w:asciiTheme="minorEastAsia" w:hAnsiTheme="minorEastAsia" w:eastAsiaTheme="minorEastAsia" w:cstheme="minorEastAsia"/>
                <w:sz w:val="21"/>
                <w:szCs w:val="21"/>
                <w:lang w:val="zh-CN"/>
              </w:rPr>
              <w:t>所需的资源。</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如必要的基础设施、人力资源、运行环境、计量测量设施、组织相关的知识以及必要的资金支持等。</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详见各二阶段各专业的审核记录。</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内审</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QEO9.2</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2020年6月30日编制了内部审核计划，2020年7月7-8日组织实施了内审。</w:t>
            </w:r>
          </w:p>
          <w:p>
            <w:pPr>
              <w:pStyle w:val="2"/>
              <w:rPr>
                <w:rFonts w:hint="eastAsia" w:asciiTheme="minorEastAsia" w:hAnsiTheme="minorEastAsia" w:eastAsiaTheme="minorEastAsia" w:cstheme="minorEastAsia"/>
                <w:bCs w:val="0"/>
                <w:spacing w:val="0"/>
                <w:kern w:val="2"/>
                <w:sz w:val="21"/>
                <w:szCs w:val="21"/>
                <w:highlight w:val="yellow"/>
                <w:lang w:val="en-US" w:eastAsia="zh-CN" w:bidi="ar-SA"/>
              </w:rPr>
            </w:pPr>
            <w:r>
              <w:rPr>
                <w:rFonts w:hint="eastAsia" w:asciiTheme="minorEastAsia" w:hAnsiTheme="minorEastAsia" w:eastAsiaTheme="minorEastAsia" w:cstheme="minorEastAsia"/>
                <w:bCs w:val="0"/>
                <w:spacing w:val="0"/>
                <w:kern w:val="2"/>
                <w:sz w:val="21"/>
                <w:szCs w:val="21"/>
                <w:highlight w:val="yellow"/>
                <w:lang w:val="en-US" w:eastAsia="zh-CN" w:bidi="ar-SA"/>
              </w:rPr>
              <w:t>内审检查记录中未包职业健康安全管理体系的5.4条款内容。</w:t>
            </w:r>
          </w:p>
          <w:p>
            <w:pPr>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2020.7.15日，结论：本次内审共开具二份不符合项报告，不合格项报告与有关部门进行了沟通确认，并向公</w:t>
            </w:r>
            <w:r>
              <w:rPr>
                <w:rFonts w:hint="eastAsia" w:asciiTheme="minorEastAsia" w:hAnsiTheme="minorEastAsia" w:eastAsiaTheme="minorEastAsia" w:cstheme="minorEastAsia"/>
                <w:sz w:val="21"/>
                <w:szCs w:val="21"/>
                <w:lang w:val="en-US" w:eastAsia="zh-CN"/>
              </w:rPr>
              <w:t>司领导汇报沟通整个内审情况，最后在末次会议上回顾总结两天内审的总体情况，现场宣布 不符合项报告，由管理者代表责令有关部门在 10 天内完成整改，并要求内审组成员继续进行 跟踪验证。</w:t>
            </w:r>
            <w:r>
              <w:rPr>
                <w:rFonts w:hint="eastAsia" w:asciiTheme="minorEastAsia" w:hAnsiTheme="minorEastAsia" w:eastAsiaTheme="minorEastAsia" w:cstheme="minorEastAsia"/>
                <w:bCs w:val="0"/>
                <w:spacing w:val="0"/>
                <w:kern w:val="2"/>
                <w:sz w:val="21"/>
                <w:szCs w:val="21"/>
                <w:lang w:val="en-US" w:eastAsia="zh-CN" w:bidi="ar-SA"/>
              </w:rPr>
              <w:t>基本符合要求。</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w:t>
            </w:r>
          </w:p>
        </w:tc>
        <w:tc>
          <w:tcPr>
            <w:tcW w:w="9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QEO9.3</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2020年7月22日组织了公司QEO管理体系的管理评审。</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管理评审计划（2020.7.16）,以会议形式开展，有会议通知，评审会议签到表、体系运行情况报告（行政部、营销部、生产部、研发部、质量部、采购部分别进行汇报）、形成了管理评审会议记录和评审报告。</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质量环境安全事故及投诉情况</w:t>
            </w:r>
          </w:p>
        </w:tc>
        <w:tc>
          <w:tcPr>
            <w:tcW w:w="960" w:type="dxa"/>
          </w:tcPr>
          <w:p>
            <w:pPr>
              <w:rPr>
                <w:rFonts w:hint="eastAsia" w:asciiTheme="minorEastAsia" w:hAnsiTheme="minorEastAsia" w:eastAsiaTheme="minorEastAsia" w:cstheme="minorEastAsia"/>
                <w:sz w:val="21"/>
                <w:szCs w:val="21"/>
                <w:lang w:val="en-US" w:eastAsia="zh-CN"/>
              </w:rPr>
            </w:pP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企业自QEO管理体系运行以来未发生质量投诉事件。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未发生环境污染和环境违规处罚</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未发生安全事故，未出现职业健康伤害；</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地方政府对产品质量抽检情况：企业介绍：地方政府基本每月抽检，但未給企业抽检报告。</w:t>
            </w:r>
          </w:p>
        </w:tc>
        <w:tc>
          <w:tcPr>
            <w:tcW w:w="819" w:type="dxa"/>
          </w:tcPr>
          <w:p>
            <w:pPr>
              <w:rPr>
                <w:rFonts w:hint="eastAsia" w:asciiTheme="minorEastAsia" w:hAnsiTheme="minorEastAsia" w:eastAsiaTheme="minorEastAsia" w:cstheme="minorEastAsia"/>
                <w:sz w:val="21"/>
                <w:szCs w:val="21"/>
              </w:rPr>
            </w:pPr>
          </w:p>
        </w:tc>
      </w:tr>
    </w:tbl>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p>
      <w:pPr>
        <w:pStyle w:val="4"/>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spacing w:line="48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44"/>
        <w:gridCol w:w="1077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4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77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行政部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王佳楠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焦玮</w:t>
            </w:r>
          </w:p>
        </w:tc>
        <w:tc>
          <w:tcPr>
            <w:tcW w:w="81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李丽英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2020年11月27日</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770"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审核条款：Q7.1.6</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E</w:t>
            </w:r>
            <w:r>
              <w:rPr>
                <w:rFonts w:hint="eastAsia" w:asciiTheme="minorEastAsia" w:hAnsiTheme="minorEastAsia" w:eastAsiaTheme="minorEastAsia" w:cstheme="minorEastAsia"/>
                <w:sz w:val="21"/>
                <w:szCs w:val="21"/>
                <w:lang w:val="en-US" w:eastAsia="zh-CN"/>
              </w:rPr>
              <w:t>O5.3/6.2/7.5;EO:6.1.2/6.1.3/6.1.4</w:t>
            </w: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lang w:val="en-US" w:eastAsia="zh-CN"/>
              </w:rPr>
              <w:t>/9.1.2</w:t>
            </w:r>
          </w:p>
        </w:tc>
        <w:tc>
          <w:tcPr>
            <w:tcW w:w="81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职责、权限</w:t>
            </w:r>
          </w:p>
        </w:tc>
        <w:tc>
          <w:tcPr>
            <w:tcW w:w="1044"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QEO5.3</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文件的管理；负责组织公司内审、管理评审的组织协调；负责公司管理体系的内、外部信息交流；负责公司员工体检工作；负责应急准备及响应方案的制定和实施；负责公司安保、垃圾（废弃物）的处置与管理工作；负责人员招聘、培训及考核；负责环境因素的识别、评价、更新管理，编制重大环境因素清单和重大危险因素 清单，建立和保持《环境因素识别与评价控制程序》；负责制定公司</w:t>
            </w:r>
            <w:r>
              <w:rPr>
                <w:rFonts w:hint="eastAsia" w:asciiTheme="minorEastAsia" w:hAnsiTheme="minorEastAsia" w:eastAsiaTheme="minorEastAsia" w:cstheme="minorEastAsia"/>
                <w:sz w:val="21"/>
                <w:szCs w:val="21"/>
                <w:highlight w:val="none"/>
                <w:lang w:val="en-US" w:eastAsia="zh-CN"/>
              </w:rPr>
              <w:t>环境目标指标及管理方案、环境绩效测量、环境管理方案</w:t>
            </w:r>
            <w:r>
              <w:rPr>
                <w:rFonts w:hint="eastAsia" w:asciiTheme="minorEastAsia" w:hAnsiTheme="minorEastAsia" w:eastAsiaTheme="minorEastAsia" w:cstheme="minorEastAsia"/>
                <w:sz w:val="21"/>
                <w:szCs w:val="21"/>
                <w:lang w:val="en-US" w:eastAsia="zh-CN"/>
              </w:rPr>
              <w:t>、投资预算；负责环境职业健康安全管理体系持续改进和纠正及预防措施的落实。</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76"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组织的知识</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文件化信息</w:t>
            </w:r>
          </w:p>
        </w:tc>
        <w:tc>
          <w:tcPr>
            <w:tcW w:w="1044"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6/</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QEO7.5</w:t>
            </w:r>
          </w:p>
        </w:tc>
        <w:tc>
          <w:tcPr>
            <w:tcW w:w="10770"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行政部门负责知识管理，包括组织知识的识别、收集、组织、共享、应用、 推进、创新等方式管理。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公司知识包括：与体系运行、过程操作、产品和服务符合性及顾客满意所需的知识、知识产权和经验总结等信息。分为外部知识资源和内部知识资源两方面。</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a）内部来源（如知识产权；从经历获得的知识；从失败和成功项目得到的经验 教训；获取和分享未形成文件的知识和经验；过程、产品和服务的改进结果）；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b）外部来源（如标准；学术交流；专业会议；从顾客或外部供方收集的知识）</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企业编制了《质量、环境、职业健康安全管理体系管理手册 版本：01/00》、《质量、环境、职业健康安全管理体系程序文件汇编 版本：01/00》及相应的制度、记录等。</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指标</w:t>
            </w:r>
          </w:p>
        </w:tc>
        <w:tc>
          <w:tcPr>
            <w:tcW w:w="1044"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行政部目标指标</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员工培训合格率：100﹪；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无“长明灯”“ 长流水”等资源浪费事件；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无化学品泄漏事件发生。</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火灾、爆炸事故为0；</w:t>
            </w:r>
          </w:p>
          <w:p>
            <w:pPr>
              <w:rPr>
                <w:rFonts w:hint="eastAsia" w:asciiTheme="minorEastAsia" w:hAnsiTheme="minorEastAsia" w:eastAsiaTheme="minorEastAsia" w:cstheme="minorEastAsia"/>
                <w:color w:val="FF0000"/>
                <w:sz w:val="21"/>
                <w:szCs w:val="21"/>
                <w:lang w:val="en-US" w:eastAsia="zh-CN" w:bidi="ar"/>
              </w:rPr>
            </w:pPr>
            <w:r>
              <w:rPr>
                <w:rFonts w:hint="eastAsia" w:asciiTheme="minorEastAsia" w:hAnsiTheme="minorEastAsia" w:eastAsiaTheme="minorEastAsia" w:cstheme="minorEastAsia"/>
                <w:sz w:val="21"/>
                <w:szCs w:val="21"/>
                <w:lang w:val="en-US" w:eastAsia="zh-CN"/>
              </w:rPr>
              <w:t>目标的选取基本合理适宜。</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风险管控的策划和实施</w:t>
            </w:r>
          </w:p>
        </w:tc>
        <w:tc>
          <w:tcPr>
            <w:tcW w:w="1044"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QEO6.1</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制定实施《风险与机遇应对控制程序》。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各部门对识别的风险制定风险控制措施，制定“风险控制矩阵表”， 行政部将公 司风险识别进行汇总，定期检查控制情况。</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风险管理流程：风险识别——风险评估——风险响应——风险控制。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提供《风险和机遇评估分析表》包括：质量部、行政部、研发部、生产部、采购部、营销部等部门的风险和机遇的分析。</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76" w:type="dxa"/>
          </w:tcPr>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环境因素识别，危险源辨识、风险评估及控制措施</w:t>
            </w:r>
          </w:p>
        </w:tc>
        <w:tc>
          <w:tcPr>
            <w:tcW w:w="1044" w:type="dxa"/>
          </w:tcPr>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EO:6.1.2/6.1.4</w:t>
            </w:r>
          </w:p>
        </w:tc>
        <w:tc>
          <w:tcPr>
            <w:tcW w:w="10770"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环境因素识别排查表》识别了办公区、生产部、检验部等部门，包括办公区的环境因素包括：生活污水的排放，生活垃圾的排放、废墨盒废硒鼓的排放、废旧电池的产生、资源的利用等；生产部、检验室的环境因素包括：生产生活废水的排放、固废的排放、噪声的排放、能源使用、原材料消耗等；</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提供《重要环境因素清单》4项，包括固废的排放、噪声的排放、废气的排放、潜在火灾的发生。</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提供《危险源调查表》每季度进行调查，提供一季度、二季度、三季度调查表。</w:t>
            </w:r>
          </w:p>
          <w:p>
            <w:pPr>
              <w:pStyle w:val="2"/>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《重要危险因素清单》分为橙色、黄色、蓝色共16项。其中橙色：1项为厂级风险（火灾）；黄色7项为部门级风险，8项蓝色风险为岗位级风险。</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6" w:type="dxa"/>
          </w:tcPr>
          <w:p>
            <w:pP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法律法规、合规义务及合规评价</w:t>
            </w:r>
          </w:p>
        </w:tc>
        <w:tc>
          <w:tcPr>
            <w:tcW w:w="1044" w:type="dxa"/>
          </w:tcPr>
          <w:p>
            <w:pP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EO:6.1.3/9.1.2</w:t>
            </w:r>
          </w:p>
        </w:tc>
        <w:tc>
          <w:tcPr>
            <w:tcW w:w="10770" w:type="dxa"/>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编制了《合规性评价控制程序》由行政部组织每年一次对适用环境和职业健康安全法律、法规和其他要求的执行情况进行全面评价。</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提供：法律法规清单，包括法律法规、规章条例、标准等</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未及时更新中华人民共和国固体废物污染防治法和危险废物名录，未识别《大气污染物综合排放标准》（GB16297-1996）、《工业企业挥发性有机物排放控制标准》（DB13/2322-2016）等</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合规性评价报告》结论，公司没有违反国家法律、法规及相关标准，能严格遵守国家有关环境和职业健康安全管理方面的相关规定，密切关注法律法规的变化，并适时调整，严格按体系标准执行。公司各部门都能够有效遵循法律法规进行施工，未发生重大安全生产事故，未发生环境扰民事件，无环境污染事件发生，未发生传染病及其他卫生防疫问题事件，无个人或单位投诉。各项目的环境和职业健康安全管理行为符合法律法规和标准要求，对于合规性评价分析所发现的薄弱环节，公司各部门将制定改进措施，以持续改进公司和项目的安全管理绩效。对在合规性证据收集过程中发现的个别不符合，各部门均能够及时组织力量进行原因分析，制定纠正和预防措施，并积极开展纠偏活动。通过对纠偏结果的考核，表明纠正措施制订是适宜的，执行结果是有效的。对公司的环保意识和环境管理水平的提高起到了明显的促进作用。</w:t>
            </w:r>
          </w:p>
        </w:tc>
        <w:tc>
          <w:tcPr>
            <w:tcW w:w="81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6" w:type="dxa"/>
          </w:tcPr>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应急准备和响应</w:t>
            </w:r>
          </w:p>
        </w:tc>
        <w:tc>
          <w:tcPr>
            <w:tcW w:w="1044" w:type="dxa"/>
          </w:tcPr>
          <w:p>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EO8.2</w:t>
            </w:r>
          </w:p>
        </w:tc>
        <w:tc>
          <w:tcPr>
            <w:tcW w:w="10770"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编制了《</w:t>
            </w:r>
            <w:r>
              <w:rPr>
                <w:rFonts w:hint="eastAsia" w:asciiTheme="minorEastAsia" w:hAnsiTheme="minorEastAsia" w:eastAsiaTheme="minorEastAsia" w:cstheme="minorEastAsia"/>
                <w:b w:val="0"/>
                <w:bCs w:val="0"/>
                <w:color w:val="auto"/>
                <w:sz w:val="21"/>
                <w:szCs w:val="21"/>
              </w:rPr>
              <w:t>应急准备和响应控制程序</w:t>
            </w:r>
            <w:r>
              <w:rPr>
                <w:rFonts w:hint="eastAsia" w:asciiTheme="minorEastAsia" w:hAnsiTheme="minorEastAsia" w:eastAsiaTheme="minorEastAsia" w:cstheme="minorEastAsia"/>
                <w:sz w:val="21"/>
                <w:szCs w:val="21"/>
                <w:lang w:val="en-US" w:eastAsia="zh-CN"/>
              </w:rPr>
              <w:t>》，</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提供火灾应急事故预案，包括：应急目的、内容职责、应急响应流程等。</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提供火灾演练记录、有演练类别、参加人员、演练内容、演练预案评估等内容。基本符合要求。</w:t>
            </w:r>
          </w:p>
        </w:tc>
        <w:tc>
          <w:tcPr>
            <w:tcW w:w="819" w:type="dxa"/>
          </w:tcPr>
          <w:p>
            <w:pPr>
              <w:rPr>
                <w:rFonts w:hint="eastAsia" w:asciiTheme="minorEastAsia" w:hAnsiTheme="minorEastAsia" w:eastAsiaTheme="minorEastAsia" w:cstheme="minorEastAsia"/>
                <w:sz w:val="21"/>
                <w:szCs w:val="21"/>
              </w:rPr>
            </w:pPr>
          </w:p>
        </w:tc>
      </w:tr>
    </w:tbl>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p>
      <w:pPr>
        <w:pStyle w:val="4"/>
        <w:rPr>
          <w:rFonts w:hint="eastAsia" w:asciiTheme="minorEastAsia" w:hAnsiTheme="minorEastAsia" w:eastAsiaTheme="minorEastAsia" w:cstheme="minorEastAsia"/>
          <w:sz w:val="21"/>
          <w:szCs w:val="21"/>
        </w:rPr>
      </w:pPr>
    </w:p>
    <w:p>
      <w:pPr>
        <w:spacing w:line="48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44"/>
        <w:gridCol w:w="1083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4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3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营销部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王涛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焦玮</w:t>
            </w:r>
          </w:p>
        </w:tc>
        <w:tc>
          <w:tcPr>
            <w:tcW w:w="75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李丽英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2020年11月27日</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830"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：Q8.2     EO6.1.2</w:t>
            </w:r>
          </w:p>
        </w:tc>
        <w:tc>
          <w:tcPr>
            <w:tcW w:w="75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职责、权限</w:t>
            </w:r>
          </w:p>
        </w:tc>
        <w:tc>
          <w:tcPr>
            <w:tcW w:w="1044"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QEO5.3</w:t>
            </w:r>
          </w:p>
        </w:tc>
        <w:tc>
          <w:tcPr>
            <w:tcW w:w="10830" w:type="dxa"/>
          </w:tcPr>
          <w:p>
            <w:pPr>
              <w:keepNext w:val="0"/>
              <w:keepLines w:val="0"/>
              <w:widowControl/>
              <w:suppressLineNumbers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销部：负责制定与保持招标文件评审；进行市场调研与市场营销管理；负责市场信息的收集、分析、跟踪；与顾客（业主）有关过程的确定、评审和沟通；组织项目投标报价、编制标书并进行标书的评审；对合同的付款方式进行评议；负责组织合同评审，保存合同评审记录；负责组织与业主进行合同的谈判、起草合同文本、签订合同；向顾客提供获得的认证证书以证明公司在质量、环境、职业健康安全方面的管理情况；贯彻执行公司的方针和管理目标，落实管理手册在本部门的运行；负责对相关方的控制，实施绿色采购；负责本部门环境因素、危险源的识别及其控制。</w:t>
            </w:r>
          </w:p>
        </w:tc>
        <w:tc>
          <w:tcPr>
            <w:tcW w:w="75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76"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了解受审核方</w:t>
            </w:r>
            <w:r>
              <w:rPr>
                <w:rFonts w:hint="eastAsia" w:asciiTheme="minorEastAsia" w:hAnsiTheme="minorEastAsia" w:eastAsiaTheme="minorEastAsia" w:cstheme="minorEastAsia"/>
                <w:sz w:val="21"/>
                <w:szCs w:val="21"/>
                <w:lang w:eastAsia="zh-CN"/>
              </w:rPr>
              <w:t>销售</w:t>
            </w:r>
            <w:r>
              <w:rPr>
                <w:rFonts w:hint="eastAsia" w:asciiTheme="minorEastAsia" w:hAnsiTheme="minorEastAsia" w:eastAsiaTheme="minorEastAsia" w:cstheme="minorEastAsia"/>
                <w:sz w:val="21"/>
                <w:szCs w:val="21"/>
              </w:rPr>
              <w:t>过程</w:t>
            </w:r>
            <w:r>
              <w:rPr>
                <w:rFonts w:hint="eastAsia" w:asciiTheme="minorEastAsia" w:hAnsiTheme="minorEastAsia" w:eastAsiaTheme="minorEastAsia" w:cstheme="minorEastAsia"/>
                <w:sz w:val="21"/>
                <w:szCs w:val="21"/>
                <w:lang w:eastAsia="zh-CN"/>
              </w:rPr>
              <w:t>涉及的质量、环境、职业健康安全的相关活动</w:t>
            </w:r>
          </w:p>
        </w:tc>
        <w:tc>
          <w:tcPr>
            <w:tcW w:w="1044" w:type="dxa"/>
            <w:vAlign w:val="top"/>
          </w:tcPr>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Q8.2     EO6.1.2</w:t>
            </w:r>
          </w:p>
        </w:tc>
        <w:tc>
          <w:tcPr>
            <w:tcW w:w="10830" w:type="dxa"/>
            <w:vAlign w:val="top"/>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根据职责营销部主要对市场的相关信息进行管理控制。编制《产品销售过程控制程序》</w:t>
            </w:r>
          </w:p>
          <w:p>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营销部负责明确顾客对产品的需求与期望。</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顾客规定的要求,包括产品名称、价格、数量、规格、包装、运输方式、交货期及结算方式等。产品的检验报告、合格证等给予顾客。产品均要达到国标、行标等的要求。向顾客承诺:如发现产品有质量问题,一定在24小时之内予以答复。</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产品要求的评审：产品要求的评审在投标、合同签定之前进行,确保:产品要求达到标准规定；顾客没有文件形式提供要求时(如口头要求即电话记录),顾客要求在接受前得到确认；与以前表述不一致的合同或电话记录(即口头要求;如投标或报价单)已予以解决；公司有能力满足规定的要求。</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合同评审：口头合同、销售合同</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销售评审流程：营销部与顾客洽谈投标意向——</w:t>
            </w:r>
            <w:r>
              <w:rPr>
                <w:rFonts w:hint="eastAsia" w:asciiTheme="minorEastAsia" w:hAnsiTheme="minorEastAsia" w:eastAsiaTheme="minorEastAsia" w:cstheme="minorEastAsia"/>
                <w:sz w:val="21"/>
                <w:szCs w:val="21"/>
              </w:rPr>
              <w:t>组织相关部门识别顾客需求进行投标书准备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组织对标书进行评审和投标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识别产品需求准备合同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组织相关部门对产品要求评审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总经理审批“产品要求评审表”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签订合同。</w:t>
            </w:r>
          </w:p>
          <w:p>
            <w:pPr>
              <w:pStyle w:val="2"/>
              <w:rPr>
                <w:rFonts w:hint="eastAsia" w:asciiTheme="minorEastAsia" w:hAnsiTheme="minorEastAsia" w:eastAsiaTheme="minorEastAsia" w:cstheme="minorEastAsia"/>
                <w:bCs w:val="0"/>
                <w:spacing w:val="0"/>
                <w:kern w:val="2"/>
                <w:sz w:val="21"/>
                <w:szCs w:val="21"/>
                <w:highlight w:val="none"/>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顾客满意度调查：</w:t>
            </w:r>
          </w:p>
          <w:p>
            <w:pPr>
              <w:jc w:val="both"/>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sz w:val="21"/>
                <w:szCs w:val="21"/>
                <w:lang w:val="en-US" w:eastAsia="zh-CN"/>
              </w:rPr>
              <w:t>公司编制了《顾客满意度和服务控制程序》营销部充分利用与客户沟通的有利条件，分析客户及市场对产品需求的动向，收集产品市场信息，给有关部门提供有效的管理方法和改进信息，为本厂不断提高产品质量、更好地满足客户需求。营销部每半年须向主要客户发出《顾客满意度调查表》，以征求其对本厂产品和服务的意见（包括危害物质管理方面的满意程度），并将客户反馈的信息按满意程度进行分类统计和分析，从中取得改进信息，以便有关部门制定相应的改善对策和措施。</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val="0"/>
                <w:spacing w:val="0"/>
                <w:kern w:val="2"/>
                <w:sz w:val="21"/>
                <w:szCs w:val="21"/>
                <w:highlight w:val="none"/>
                <w:lang w:val="en-US" w:eastAsia="zh-CN" w:bidi="ar-SA"/>
              </w:rPr>
              <w:t>部门的环境因素、危险源识别：见行政部审核记录。</w:t>
            </w:r>
          </w:p>
        </w:tc>
        <w:tc>
          <w:tcPr>
            <w:tcW w:w="75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指标</w:t>
            </w:r>
          </w:p>
        </w:tc>
        <w:tc>
          <w:tcPr>
            <w:tcW w:w="1044"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w:t>
            </w:r>
          </w:p>
        </w:tc>
        <w:tc>
          <w:tcPr>
            <w:tcW w:w="10830" w:type="dxa"/>
          </w:tcPr>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营销部</w:t>
            </w:r>
            <w:r>
              <w:rPr>
                <w:rFonts w:hint="eastAsia" w:asciiTheme="minorEastAsia" w:hAnsiTheme="minorEastAsia" w:eastAsiaTheme="minorEastAsia" w:cstheme="minorEastAsia"/>
                <w:b/>
                <w:bCs/>
                <w:sz w:val="21"/>
                <w:szCs w:val="21"/>
                <w:lang w:val="zh-CN" w:eastAsia="zh-CN"/>
              </w:rPr>
              <w:t>目标</w:t>
            </w:r>
            <w:r>
              <w:rPr>
                <w:rFonts w:hint="eastAsia" w:asciiTheme="minorEastAsia" w:hAnsiTheme="minorEastAsia" w:eastAsiaTheme="minorEastAsia" w:cstheme="minorEastAsia"/>
                <w:b/>
                <w:bCs/>
                <w:sz w:val="21"/>
                <w:szCs w:val="21"/>
                <w:lang w:val="en-US" w:eastAsia="zh-CN"/>
              </w:rPr>
              <w:t>指标：</w:t>
            </w:r>
          </w:p>
          <w:p>
            <w:pPr>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顾客意见处理率：100﹪</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无“长明灯”“ 长流水”等资源浪费事件；</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无化学品泄漏事件发生。</w:t>
            </w:r>
          </w:p>
          <w:p>
            <w:pPr>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火灾、爆炸事故为0；</w:t>
            </w:r>
          </w:p>
          <w:p>
            <w:pPr>
              <w:jc w:val="both"/>
              <w:rPr>
                <w:rFonts w:hint="eastAsia" w:asciiTheme="minorEastAsia" w:hAnsiTheme="minorEastAsia" w:eastAsiaTheme="minorEastAsia" w:cstheme="minorEastAsia"/>
                <w:color w:val="FF0000"/>
                <w:sz w:val="21"/>
                <w:szCs w:val="21"/>
                <w:lang w:val="en-US" w:eastAsia="zh-CN" w:bidi="ar"/>
              </w:rPr>
            </w:pPr>
            <w:r>
              <w:rPr>
                <w:rFonts w:hint="eastAsia" w:asciiTheme="minorEastAsia" w:hAnsiTheme="minorEastAsia" w:eastAsiaTheme="minorEastAsia" w:cstheme="minorEastAsia"/>
                <w:sz w:val="21"/>
                <w:szCs w:val="21"/>
                <w:lang w:val="en-US" w:eastAsia="zh-CN"/>
              </w:rPr>
              <w:t>目标的选取基本合理适宜。</w:t>
            </w:r>
          </w:p>
        </w:tc>
        <w:tc>
          <w:tcPr>
            <w:tcW w:w="759" w:type="dxa"/>
          </w:tcPr>
          <w:p>
            <w:pPr>
              <w:rPr>
                <w:rFonts w:hint="eastAsia" w:asciiTheme="minorEastAsia" w:hAnsiTheme="minorEastAsia" w:eastAsiaTheme="minorEastAsia" w:cstheme="minorEastAsia"/>
                <w:sz w:val="21"/>
                <w:szCs w:val="21"/>
              </w:rPr>
            </w:pPr>
          </w:p>
        </w:tc>
      </w:tr>
    </w:tbl>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p>
      <w:pPr>
        <w:pStyle w:val="4"/>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p>
      <w:pPr>
        <w:spacing w:line="48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44"/>
        <w:gridCol w:w="108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76"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1044"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800" w:type="dxa"/>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生产部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韩军涛        </w:t>
            </w:r>
            <w:r>
              <w:rPr>
                <w:rFonts w:hint="eastAsia" w:asciiTheme="minorEastAsia" w:hAnsiTheme="minorEastAsia" w:eastAsiaTheme="minorEastAsia" w:cstheme="minorEastAsia"/>
                <w:sz w:val="21"/>
                <w:szCs w:val="21"/>
              </w:rPr>
              <w:t>陪同人员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焦玮</w:t>
            </w:r>
          </w:p>
        </w:tc>
        <w:tc>
          <w:tcPr>
            <w:tcW w:w="789"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800" w:type="dxa"/>
            <w:vAlign w:val="center"/>
          </w:tcPr>
          <w:p>
            <w:pPr>
              <w:spacing w:before="1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李丽英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2020年11月28日</w:t>
            </w:r>
          </w:p>
        </w:tc>
        <w:tc>
          <w:tcPr>
            <w:tcW w:w="78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76" w:type="dxa"/>
            <w:vMerge w:val="continue"/>
            <w:vAlign w:val="center"/>
          </w:tcPr>
          <w:p>
            <w:pPr>
              <w:rPr>
                <w:rFonts w:hint="eastAsia" w:asciiTheme="minorEastAsia" w:hAnsiTheme="minorEastAsia" w:eastAsiaTheme="minorEastAsia" w:cstheme="minorEastAsia"/>
                <w:sz w:val="21"/>
                <w:szCs w:val="21"/>
              </w:rPr>
            </w:pPr>
          </w:p>
        </w:tc>
        <w:tc>
          <w:tcPr>
            <w:tcW w:w="1044" w:type="dxa"/>
            <w:vMerge w:val="continue"/>
            <w:vAlign w:val="center"/>
          </w:tcPr>
          <w:p>
            <w:pPr>
              <w:rPr>
                <w:rFonts w:hint="eastAsia" w:asciiTheme="minorEastAsia" w:hAnsiTheme="minorEastAsia" w:eastAsiaTheme="minorEastAsia" w:cstheme="minorEastAsia"/>
                <w:sz w:val="21"/>
                <w:szCs w:val="21"/>
              </w:rPr>
            </w:pPr>
          </w:p>
        </w:tc>
        <w:tc>
          <w:tcPr>
            <w:tcW w:w="10800" w:type="dxa"/>
            <w:vAlign w:val="center"/>
          </w:tcPr>
          <w:p>
            <w:pPr>
              <w:spacing w:before="12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审核条款：</w:t>
            </w: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7.1.3/7.1</w:t>
            </w:r>
            <w:r>
              <w:rPr>
                <w:rFonts w:hint="eastAsia" w:asciiTheme="minorEastAsia" w:hAnsiTheme="minorEastAsia" w:eastAsiaTheme="minorEastAsia" w:cstheme="minorEastAsia"/>
                <w:sz w:val="21"/>
                <w:szCs w:val="21"/>
                <w:lang w:val="en-US" w:eastAsia="zh-CN"/>
              </w:rPr>
              <w:t>.4/7.1.5/8.1/8.4/8.5.1；EO6.1.2 ；O8.1.4</w:t>
            </w:r>
          </w:p>
        </w:tc>
        <w:tc>
          <w:tcPr>
            <w:tcW w:w="789"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职责、权限</w:t>
            </w:r>
          </w:p>
        </w:tc>
        <w:tc>
          <w:tcPr>
            <w:tcW w:w="1044" w:type="dxa"/>
          </w:tcPr>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QEO5.3</w:t>
            </w:r>
          </w:p>
        </w:tc>
        <w:tc>
          <w:tcPr>
            <w:tcW w:w="10800" w:type="dxa"/>
          </w:tcPr>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负责组织安排生产并评估可能带来的产品风险；负责生产环境的管理；新产品研发过程评估危害；成品储存管理，产品销售运输监控；</w:t>
            </w:r>
            <w:r>
              <w:rPr>
                <w:rFonts w:hint="eastAsia" w:asciiTheme="minorEastAsia" w:hAnsiTheme="minorEastAsia" w:eastAsiaTheme="minorEastAsia" w:cstheme="minorEastAsia"/>
                <w:sz w:val="21"/>
                <w:szCs w:val="21"/>
                <w:highlight w:val="none"/>
                <w:lang w:val="en-US" w:eastAsia="zh-CN"/>
              </w:rPr>
              <w:t>负责设备采购评估和确认的组织工作</w:t>
            </w:r>
            <w:r>
              <w:rPr>
                <w:rFonts w:hint="eastAsia" w:asciiTheme="minorEastAsia" w:hAnsiTheme="minorEastAsia" w:eastAsiaTheme="minorEastAsia" w:cstheme="minorEastAsia"/>
                <w:sz w:val="21"/>
                <w:szCs w:val="21"/>
                <w:lang w:val="en-US" w:eastAsia="zh-CN"/>
              </w:rPr>
              <w:t>；负责组织评估设备设施变更可能带来的产品安全风险；确保生产人员都已经过必要的上岗前培训和继续培训，并根据实际需要调整培训内容；审核和批准产品的工艺规程和操作规程等文件；确定和监控物料、中间产品和成品的贮存条件；</w:t>
            </w:r>
            <w:r>
              <w:rPr>
                <w:rFonts w:hint="eastAsia" w:asciiTheme="minorEastAsia" w:hAnsiTheme="minorEastAsia" w:eastAsiaTheme="minorEastAsia" w:cstheme="minorEastAsia"/>
                <w:sz w:val="21"/>
                <w:szCs w:val="21"/>
                <w:highlight w:val="none"/>
                <w:lang w:val="en-US" w:eastAsia="zh-CN"/>
              </w:rPr>
              <w:t>负责仪器仪表监视和测量管理</w:t>
            </w:r>
            <w:r>
              <w:rPr>
                <w:rFonts w:hint="eastAsia" w:asciiTheme="minorEastAsia" w:hAnsiTheme="minorEastAsia" w:eastAsiaTheme="minorEastAsia" w:cstheme="minorEastAsia"/>
                <w:sz w:val="21"/>
                <w:szCs w:val="21"/>
                <w:lang w:val="en-US" w:eastAsia="zh-CN"/>
              </w:rPr>
              <w:t>。负责公司设备的运行、维护等工作，保障动力的正常供应；开展技术改造，降低能耗；负责公司构建筑物及公共设施的管理和维护；监督检查设备使用部门严格执行有关规定。参加现场检查考核，督促整改落实情况。</w:t>
            </w:r>
          </w:p>
        </w:tc>
        <w:tc>
          <w:tcPr>
            <w:tcW w:w="78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目标</w:t>
            </w:r>
            <w:r>
              <w:rPr>
                <w:rFonts w:hint="eastAsia" w:asciiTheme="minorEastAsia" w:hAnsiTheme="minorEastAsia" w:eastAsiaTheme="minorEastAsia" w:cstheme="minorEastAsia"/>
                <w:sz w:val="21"/>
                <w:szCs w:val="21"/>
                <w:lang w:val="en-US" w:eastAsia="zh-CN"/>
              </w:rPr>
              <w:t>指标</w:t>
            </w:r>
          </w:p>
        </w:tc>
        <w:tc>
          <w:tcPr>
            <w:tcW w:w="1044"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QEO:</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w:t>
            </w:r>
          </w:p>
        </w:tc>
        <w:tc>
          <w:tcPr>
            <w:tcW w:w="10800" w:type="dxa"/>
          </w:tcPr>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生产部</w:t>
            </w:r>
            <w:r>
              <w:rPr>
                <w:rFonts w:hint="eastAsia" w:asciiTheme="minorEastAsia" w:hAnsiTheme="minorEastAsia" w:eastAsiaTheme="minorEastAsia" w:cstheme="minorEastAsia"/>
                <w:b/>
                <w:bCs/>
                <w:sz w:val="21"/>
                <w:szCs w:val="21"/>
                <w:lang w:val="zh-CN" w:eastAsia="zh-CN"/>
              </w:rPr>
              <w:t>目标</w:t>
            </w:r>
            <w:r>
              <w:rPr>
                <w:rFonts w:hint="eastAsia" w:asciiTheme="minorEastAsia" w:hAnsiTheme="minorEastAsia" w:eastAsiaTheme="minorEastAsia" w:cstheme="minorEastAsia"/>
                <w:b/>
                <w:bCs/>
                <w:sz w:val="21"/>
                <w:szCs w:val="21"/>
                <w:lang w:val="en-US" w:eastAsia="zh-CN"/>
              </w:rPr>
              <w:t>指标：</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设备完好率：100﹪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生产计划完成率：100﹪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成品合格率：100%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无“长明灯”“ 长流水”等资源浪费事件；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无化学品泄漏事件发生。</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en-US" w:eastAsia="zh-CN"/>
              </w:rPr>
              <w:t>火灾、爆炸事故为0；</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厂界噪声达标排放</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固体废弃物100% 分类；</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highlight w:val="yellow"/>
                <w:lang w:val="zh-CN" w:eastAsia="zh-CN"/>
              </w:rPr>
              <w:t>“杜绝职业病发生”</w:t>
            </w:r>
            <w:r>
              <w:rPr>
                <w:rFonts w:hint="eastAsia" w:asciiTheme="minorEastAsia" w:hAnsiTheme="minorEastAsia" w:eastAsiaTheme="minorEastAsia" w:cstheme="minorEastAsia"/>
                <w:sz w:val="21"/>
                <w:szCs w:val="21"/>
                <w:highlight w:val="yellow"/>
                <w:lang w:val="en-US" w:eastAsia="zh-CN"/>
              </w:rPr>
              <w:t>的指标未进行分解</w:t>
            </w:r>
            <w:r>
              <w:rPr>
                <w:rFonts w:hint="eastAsia" w:asciiTheme="minorEastAsia" w:hAnsiTheme="minorEastAsia" w:eastAsiaTheme="minorEastAsia" w:cstheme="minorEastAsia"/>
                <w:sz w:val="21"/>
                <w:szCs w:val="21"/>
                <w:lang w:val="zh-CN" w:eastAsia="zh-CN"/>
              </w:rPr>
              <w:t>。</w:t>
            </w:r>
          </w:p>
          <w:p>
            <w:pPr>
              <w:rPr>
                <w:rFonts w:hint="eastAsia" w:asciiTheme="minorEastAsia" w:hAnsiTheme="minorEastAsia" w:eastAsiaTheme="minorEastAsia" w:cstheme="minorEastAsia"/>
                <w:color w:val="FF0000"/>
                <w:sz w:val="21"/>
                <w:szCs w:val="21"/>
                <w:lang w:val="en-US" w:eastAsia="zh-CN" w:bidi="ar"/>
              </w:rPr>
            </w:pPr>
            <w:r>
              <w:rPr>
                <w:rFonts w:hint="eastAsia" w:asciiTheme="minorEastAsia" w:hAnsiTheme="minorEastAsia" w:eastAsiaTheme="minorEastAsia" w:cstheme="minorEastAsia"/>
                <w:sz w:val="21"/>
                <w:szCs w:val="21"/>
                <w:lang w:val="en-US" w:eastAsia="zh-CN"/>
              </w:rPr>
              <w:t>目标的选取基本合理适宜。</w:t>
            </w:r>
          </w:p>
        </w:tc>
        <w:tc>
          <w:tcPr>
            <w:tcW w:w="789" w:type="dxa"/>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76" w:type="dxa"/>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远程</w:t>
            </w:r>
            <w:r>
              <w:rPr>
                <w:rFonts w:hint="eastAsia" w:asciiTheme="minorEastAsia" w:hAnsiTheme="minorEastAsia" w:eastAsiaTheme="minorEastAsia" w:cstheme="minorEastAsia"/>
                <w:sz w:val="21"/>
                <w:szCs w:val="21"/>
              </w:rPr>
              <w:t>基本情况（包括</w:t>
            </w:r>
            <w:r>
              <w:rPr>
                <w:rFonts w:hint="eastAsia" w:asciiTheme="minorEastAsia" w:hAnsiTheme="minorEastAsia" w:eastAsiaTheme="minorEastAsia" w:cstheme="minorEastAsia"/>
                <w:sz w:val="21"/>
                <w:szCs w:val="21"/>
                <w:lang w:val="en-US" w:eastAsia="zh-CN"/>
              </w:rPr>
              <w:t>产品实现</w:t>
            </w:r>
            <w:r>
              <w:rPr>
                <w:rFonts w:hint="eastAsia" w:asciiTheme="minorEastAsia" w:hAnsiTheme="minorEastAsia" w:eastAsiaTheme="minorEastAsia" w:cstheme="minorEastAsia"/>
                <w:sz w:val="21"/>
                <w:szCs w:val="21"/>
              </w:rPr>
              <w:t>流程、设备、监视和测量设备等）资源的配置、特殊过程识别</w:t>
            </w:r>
            <w:r>
              <w:rPr>
                <w:rFonts w:hint="eastAsia" w:asciiTheme="minorEastAsia" w:hAnsiTheme="minorEastAsia" w:eastAsiaTheme="minorEastAsia" w:cstheme="minorEastAsia"/>
                <w:sz w:val="21"/>
                <w:szCs w:val="21"/>
                <w:lang w:eastAsia="zh-CN"/>
              </w:rPr>
              <w:t>；</w:t>
            </w:r>
          </w:p>
        </w:tc>
        <w:tc>
          <w:tcPr>
            <w:tcW w:w="104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7.1.3/7.1.4/7.1.5/8.1</w:t>
            </w:r>
            <w:r>
              <w:rPr>
                <w:rFonts w:hint="eastAsia" w:asciiTheme="minorEastAsia" w:hAnsiTheme="minorEastAsia" w:eastAsiaTheme="minorEastAsia" w:cstheme="minorEastAsia"/>
                <w:sz w:val="21"/>
                <w:szCs w:val="21"/>
                <w:lang w:val="en-US" w:eastAsia="zh-CN"/>
              </w:rPr>
              <w:t>/8.4</w:t>
            </w:r>
            <w:r>
              <w:rPr>
                <w:rFonts w:hint="eastAsia" w:asciiTheme="minorEastAsia" w:hAnsiTheme="minorEastAsia" w:eastAsiaTheme="minorEastAsia" w:cstheme="minorEastAsia"/>
                <w:sz w:val="21"/>
                <w:szCs w:val="21"/>
              </w:rPr>
              <w:t>/8.5.1</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EO6.1.2</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O8.1.4</w:t>
            </w:r>
          </w:p>
        </w:tc>
        <w:tc>
          <w:tcPr>
            <w:tcW w:w="10800" w:type="dxa"/>
          </w:tcPr>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b/>
                <w:bCs/>
                <w:sz w:val="21"/>
                <w:szCs w:val="21"/>
                <w:lang w:val="en-US" w:eastAsia="zh-CN"/>
              </w:rPr>
              <w:t>基础设施</w:t>
            </w:r>
            <w:r>
              <w:rPr>
                <w:rFonts w:hint="eastAsia" w:asciiTheme="minorEastAsia" w:hAnsiTheme="minorEastAsia" w:eastAsiaTheme="minorEastAsia" w:cstheme="minorEastAsia"/>
                <w:sz w:val="21"/>
                <w:szCs w:val="21"/>
                <w:lang w:val="en-US" w:eastAsia="zh-CN"/>
              </w:rPr>
              <w:t xml:space="preserve">:公司为实现产品和服务和（或）服务的符合性，确定所需的基础设施，包括：工作场所（建筑物）及环境保护、消防、安全等相应的设施；销售和服务设备；监视和测量资源； 销售服务需要的支持性服务（包括水、电）；安全卫生、消防、保卫等相应的设施；运输资源等支持性服务：如运输由客户指定或物流公司执行；信息系统：计算机信息管理系统或进销存仓库管理软件等软件配置由所需部门提出申请，总经理批准后实施。信息系统的管理按公司有关规定和要求执行。 </w:t>
            </w:r>
          </w:p>
          <w:p>
            <w:pP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b/>
                <w:bCs/>
                <w:sz w:val="21"/>
                <w:szCs w:val="21"/>
                <w:lang w:val="en-US" w:eastAsia="zh-CN"/>
              </w:rPr>
              <w:t>过程运行环境</w:t>
            </w:r>
            <w:r>
              <w:rPr>
                <w:rFonts w:hint="eastAsia" w:asciiTheme="minorEastAsia" w:hAnsiTheme="minorEastAsia" w:eastAsiaTheme="minorEastAsia" w:cstheme="minorEastAsia"/>
                <w:sz w:val="21"/>
                <w:szCs w:val="21"/>
                <w:lang w:val="en-US" w:eastAsia="zh-CN"/>
              </w:rPr>
              <w:t xml:space="preserve">: 与顺利完成职责有关的，如温湿度、照明、环境保护相关等；与完成职责可能的风险有关的，如职业危害与职业病、危险和警示标识等；与劳保有关的，包括正常销售过程和特殊条件（高温高寒、有毒有害等）下的劳动保护用品和措施；与用工有关的，如平等，不歧视，及时解决社会性矛盾，履行社会责任等；与必要的保健和心理有关的，包括防暑降温、疲劳预防与恢复、心理辅导与干预、亲情安抚、娱乐条件等；与生活区有关，包括饮食、卫生、水电气、宿舍配置等标准、管理与检查等；与公共秩序有关，如烟、酒、药、毒的禁控。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监视和测量资源</w:t>
            </w:r>
            <w:r>
              <w:rPr>
                <w:rFonts w:hint="eastAsia" w:asciiTheme="minorEastAsia" w:hAnsiTheme="minorEastAsia" w:eastAsiaTheme="minorEastAsia" w:cstheme="minorEastAsia"/>
                <w:sz w:val="21"/>
                <w:szCs w:val="21"/>
                <w:lang w:val="en-US" w:eastAsia="zh-CN"/>
              </w:rPr>
              <w:t>:营销部门应对产品和服务的监视和测量要求和方法作出规定，同时要申请配置用于证实产品和服务符合规定要求的监视和测量资源。使用并控制监视和测量设施以保证测量能力与测量要求保持一致，从而保证产品和服务符合要求。详见《监视和测量资源控制程序》。</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固体饮料（粉剂）工艺流程：原材料——称重——总混——内包装——外包装——入库。</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固体饮料（颗粒剂） 工艺流程：原材料——称重——制粒——干燥——整粒——总混——内包装——外包装——入库。      </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油滴剂（食用油、油脂及其制品）</w:t>
            </w:r>
            <w:r>
              <w:rPr>
                <w:rFonts w:hint="eastAsia" w:asciiTheme="minorEastAsia" w:hAnsiTheme="minorEastAsia" w:eastAsiaTheme="minorEastAsia" w:cstheme="minorEastAsia"/>
                <w:bCs w:val="0"/>
                <w:spacing w:val="0"/>
                <w:kern w:val="2"/>
                <w:sz w:val="21"/>
                <w:szCs w:val="21"/>
                <w:lang w:val="en-US" w:eastAsia="zh-CN" w:bidi="ar-SA"/>
              </w:rPr>
              <w:t xml:space="preserve">工艺流程：原料油——辅料——灌装——灯检——外包装——检查——入库。 </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产品执行标准： SBT10292-1998食用调和油；GB7101-2015食品安全国家标准 饮料；GBT31326-2014植物饮料；GBT29602-2013固体饮料；QHTBS 0003S-2020 ；蘑菇油滴液；</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QHTBS 0002S-2020；食用植物DHA藻油调和油；QHTBS 0001S-2020  食用乳酸菌（油滴液）；QTBS 0002S-2019  乳清蛋白粉固体饮料；QTBS 0001S-2020  富锌橘皮酵母固体饮料；</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QTBS 0003S-2019  益生菌固体饮料</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highlight w:val="none"/>
                <w:lang w:val="en-US" w:eastAsia="zh-CN" w:bidi="ar-SA"/>
              </w:rPr>
              <w:t>外部供应的管控</w:t>
            </w:r>
            <w:r>
              <w:rPr>
                <w:rFonts w:hint="eastAsia" w:asciiTheme="minorEastAsia" w:hAnsiTheme="minorEastAsia" w:eastAsiaTheme="minorEastAsia" w:cstheme="minorEastAsia"/>
                <w:bCs w:val="0"/>
                <w:spacing w:val="0"/>
                <w:kern w:val="2"/>
                <w:sz w:val="21"/>
                <w:szCs w:val="21"/>
                <w:lang w:val="en-US" w:eastAsia="zh-CN" w:bidi="ar-SA"/>
              </w:rPr>
              <w:t>：负责设备的采购并进行供应商的评价。</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生产和服务的提供：提供产品配方卡，有：品名、规格、产品代码、执行标准、配方列表。关键工序控制点等内容；</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生产部的环境因素、危险源辨识：</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生产部的环境因素包括：废水的排放、废气的排放、固废排放等</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生产部的危害因素：包括触电、火灾、机械伤害、噪声、粉尘、化学品伤害等内容。</w:t>
            </w:r>
          </w:p>
          <w:p>
            <w:pPr>
              <w:pStyle w:val="2"/>
              <w:rPr>
                <w:rFonts w:hint="eastAsia"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bCs w:val="0"/>
                <w:spacing w:val="0"/>
                <w:kern w:val="2"/>
                <w:sz w:val="21"/>
                <w:szCs w:val="21"/>
                <w:lang w:val="en-US" w:eastAsia="zh-CN" w:bidi="ar-SA"/>
              </w:rPr>
              <w:t>现场库房（原材料库、产品库）管理规范、标识清晰、不合格品区域划分明确。各岗位各环节记录清晰。</w:t>
            </w:r>
          </w:p>
        </w:tc>
        <w:tc>
          <w:tcPr>
            <w:tcW w:w="789" w:type="dxa"/>
          </w:tcPr>
          <w:p>
            <w:pPr>
              <w:rPr>
                <w:rFonts w:hint="eastAsia" w:asciiTheme="minorEastAsia" w:hAnsiTheme="minorEastAsia" w:eastAsiaTheme="minorEastAsia" w:cstheme="minorEastAsia"/>
                <w:sz w:val="21"/>
                <w:szCs w:val="21"/>
              </w:rPr>
            </w:pPr>
          </w:p>
        </w:tc>
      </w:tr>
    </w:tbl>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ptab w:relativeTo="margin" w:alignment="center" w:leader="none"/>
      </w:r>
    </w:p>
    <w:p>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说明：不符合标注N</w:t>
      </w:r>
    </w:p>
    <w:p>
      <w:pPr>
        <w:pStyle w:val="4"/>
        <w:rPr>
          <w:rFonts w:hint="eastAsia" w:asciiTheme="minorEastAsia" w:hAnsiTheme="minorEastAsia" w:eastAsiaTheme="minorEastAsia" w:cstheme="minorEastAsia"/>
          <w:sz w:val="21"/>
          <w:szCs w:val="21"/>
        </w:rPr>
      </w:pPr>
    </w:p>
    <w:p>
      <w:pPr>
        <w:pStyle w:val="4"/>
        <w:rPr>
          <w:rFonts w:hint="eastAsia" w:asciiTheme="minorEastAsia" w:hAnsiTheme="minorEastAsia" w:eastAsiaTheme="minorEastAsia" w:cstheme="minorEastAsia"/>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880E87"/>
    <w:rsid w:val="0BE406A1"/>
    <w:rsid w:val="17414F83"/>
    <w:rsid w:val="19374854"/>
    <w:rsid w:val="21A010FC"/>
    <w:rsid w:val="22994D84"/>
    <w:rsid w:val="290A7028"/>
    <w:rsid w:val="2CCB2D7A"/>
    <w:rsid w:val="2FE555E9"/>
    <w:rsid w:val="406167FD"/>
    <w:rsid w:val="42BF0A78"/>
    <w:rsid w:val="492555EF"/>
    <w:rsid w:val="4C392016"/>
    <w:rsid w:val="4C3B0EC3"/>
    <w:rsid w:val="4F34629C"/>
    <w:rsid w:val="6499333C"/>
    <w:rsid w:val="6A171E4B"/>
    <w:rsid w:val="70DB08F6"/>
    <w:rsid w:val="76E02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table" w:customStyle="1" w:styleId="13">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46</TotalTime>
  <ScaleCrop>false</ScaleCrop>
  <LinksUpToDate>false</LinksUpToDate>
  <CharactersWithSpaces>100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2020-12-04T08:08:14Z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