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重庆金科两江大酒店有限公司</w:t>
      </w:r>
      <w:bookmarkEnd w:id="0"/>
      <w:r>
        <w:rPr>
          <w:rFonts w:hint="eastAsia"/>
          <w:b/>
          <w:sz w:val="36"/>
          <w:szCs w:val="36"/>
          <w:lang w:eastAsia="zh-CN"/>
        </w:rPr>
        <w:t>许可范围内的酒店经营管理（住宿、餐饮），物业管理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重庆金科两江大酒店有限公司</w:t>
      </w:r>
      <w:bookmarkEnd w:id="6"/>
      <w:r>
        <w:rPr>
          <w:rFonts w:hint="eastAsia"/>
          <w:b/>
          <w:sz w:val="36"/>
          <w:szCs w:val="36"/>
        </w:rPr>
        <w:t>（盖章）</w:t>
      </w:r>
      <w:bookmarkStart w:id="7" w:name="_GoBack"/>
      <w:bookmarkEnd w:id="7"/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2021年09月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17854"/>
    <w:rsid w:val="7F0A2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2021-09-21T06:34:56Z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