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0457-2019-O-2021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重庆金科两江大酒店有限公司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2"/>
        <w:rPr>
          <w:sz w:val="28"/>
          <w:szCs w:val="28"/>
        </w:rPr>
      </w:pPr>
    </w:p>
    <w:p>
      <w:pPr>
        <w:pStyle w:val="12"/>
        <w:rPr>
          <w:sz w:val="28"/>
          <w:szCs w:val="28"/>
        </w:rPr>
      </w:pPr>
    </w:p>
    <w:p>
      <w:pPr>
        <w:pStyle w:val="1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重庆金科两江大酒店有限公司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重庆市涪陵区滨江大道二段6号</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重庆市涪陵区滨江大道二段6号</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r>
              <w:rPr>
                <w:sz w:val="21"/>
                <w:szCs w:val="21"/>
              </w:rPr>
              <w:t>赵培宇</w:t>
            </w:r>
          </w:p>
        </w:tc>
        <w:tc>
          <w:tcPr>
            <w:tcW w:w="1313" w:type="dxa"/>
            <w:vAlign w:val="center"/>
          </w:tcPr>
          <w:p>
            <w:r>
              <w:rPr>
                <w:rFonts w:hint="eastAsia"/>
              </w:rPr>
              <w:t>电话.</w:t>
            </w:r>
          </w:p>
        </w:tc>
        <w:tc>
          <w:tcPr>
            <w:tcW w:w="2180" w:type="dxa"/>
            <w:vAlign w:val="center"/>
          </w:tcPr>
          <w:p>
            <w:r>
              <w:rPr>
                <w:rFonts w:hint="eastAsia"/>
                <w:sz w:val="21"/>
                <w:szCs w:val="21"/>
              </w:rPr>
              <w:t>17378313179</w:t>
            </w:r>
          </w:p>
        </w:tc>
        <w:tc>
          <w:tcPr>
            <w:tcW w:w="1242" w:type="dxa"/>
            <w:vAlign w:val="center"/>
          </w:tcPr>
          <w:p>
            <w:r>
              <w:rPr>
                <w:rFonts w:hint="eastAsia"/>
              </w:rPr>
              <w:t>传真</w:t>
            </w:r>
          </w:p>
        </w:tc>
        <w:tc>
          <w:tcPr>
            <w:tcW w:w="1771" w:type="dxa"/>
          </w:tcPr>
          <w:p>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1" w:name="法人"/>
            <w:r>
              <w:t>陈颐</w:t>
            </w:r>
            <w:bookmarkEnd w:id="11"/>
          </w:p>
        </w:tc>
        <w:tc>
          <w:tcPr>
            <w:tcW w:w="1313" w:type="dxa"/>
            <w:vAlign w:val="center"/>
          </w:tcPr>
          <w:p>
            <w:r>
              <w:rPr>
                <w:rFonts w:hint="eastAsia"/>
              </w:rPr>
              <w:t>管理者代表</w:t>
            </w:r>
          </w:p>
        </w:tc>
        <w:tc>
          <w:tcPr>
            <w:tcW w:w="2180" w:type="dxa"/>
          </w:tcPr>
          <w:p>
            <w:bookmarkStart w:id="12" w:name="管理者代表"/>
            <w:r>
              <w:t>朱仁蓉</w:t>
            </w:r>
            <w:bookmarkEnd w:id="12"/>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lang w:eastAsia="zh-CN"/>
              </w:rPr>
              <w:t>■</w:t>
            </w:r>
            <w:r>
              <w:rPr>
                <w:rFonts w:hint="eastAsia"/>
                <w:highlight w:val="none"/>
              </w:rPr>
              <w:t>单班□双班□三班□其他</w:t>
            </w:r>
          </w:p>
          <w:p>
            <w:pPr>
              <w:rPr>
                <w:highlight w:val="none"/>
              </w:rPr>
            </w:pPr>
            <w:r>
              <w:rPr>
                <w:rFonts w:hint="eastAsia"/>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360" w:lineRule="auto"/>
              <w:rPr>
                <w:rFonts w:ascii="宋体" w:hAnsi="宋体"/>
                <w:szCs w:val="22"/>
              </w:rPr>
            </w:pPr>
            <w:r>
              <w:rPr>
                <w:rFonts w:hint="eastAsia" w:ascii="宋体" w:hAnsi="宋体"/>
                <w:szCs w:val="22"/>
              </w:rPr>
              <w:t>一、住宿服务流程：</w:t>
            </w:r>
          </w:p>
          <w:p>
            <w:pPr>
              <w:spacing w:line="360" w:lineRule="auto"/>
              <w:rPr>
                <w:rFonts w:ascii="宋体" w:hAnsi="宋体"/>
                <w:szCs w:val="22"/>
              </w:rPr>
            </w:pPr>
            <w:r>
              <w:rPr>
                <w:rFonts w:hint="eastAsia" w:ascii="宋体" w:hAnsi="宋体"/>
                <w:szCs w:val="22"/>
              </w:rPr>
              <w:t>客房准备：清洁→布草清洗消毒→房间整理</w:t>
            </w:r>
          </w:p>
          <w:p>
            <w:pPr>
              <w:spacing w:line="360" w:lineRule="auto"/>
              <w:rPr>
                <w:rFonts w:ascii="宋体" w:hAnsi="宋体"/>
                <w:szCs w:val="22"/>
              </w:rPr>
            </w:pPr>
            <w:r>
              <w:rPr>
                <w:rFonts w:hint="eastAsia" w:ascii="宋体" w:hAnsi="宋体"/>
                <w:szCs w:val="22"/>
              </w:rPr>
              <w:t>与顾客接触的业务流程：客人接待-住宿安排-信息核实登记-办理入住-引领客人入住-办理退房</w:t>
            </w:r>
          </w:p>
          <w:p>
            <w:pPr>
              <w:spacing w:line="360" w:lineRule="auto"/>
              <w:rPr>
                <w:rFonts w:ascii="宋体" w:hAnsi="宋体"/>
                <w:szCs w:val="22"/>
              </w:rPr>
            </w:pPr>
            <w:r>
              <w:rPr>
                <w:rFonts w:hint="eastAsia" w:ascii="宋体" w:hAnsi="宋体"/>
                <w:szCs w:val="22"/>
              </w:rPr>
              <w:t>二、餐饮服务流程：</w:t>
            </w:r>
          </w:p>
          <w:p>
            <w:pPr>
              <w:spacing w:line="360" w:lineRule="auto"/>
              <w:rPr>
                <w:rFonts w:ascii="宋体" w:hAnsi="宋体"/>
                <w:szCs w:val="22"/>
              </w:rPr>
            </w:pPr>
            <w:r>
              <w:rPr>
                <w:rFonts w:hint="eastAsia" w:ascii="宋体" w:hAnsi="宋体"/>
                <w:szCs w:val="22"/>
              </w:rPr>
              <w:t>菜品准备流程：食材采购→存储→加工→成品</w:t>
            </w:r>
          </w:p>
          <w:p>
            <w:pPr>
              <w:spacing w:line="360" w:lineRule="auto"/>
              <w:rPr>
                <w:rFonts w:ascii="宋体" w:hAnsi="宋体"/>
                <w:szCs w:val="22"/>
              </w:rPr>
            </w:pPr>
            <w:r>
              <w:rPr>
                <w:rFonts w:hint="eastAsia" w:ascii="宋体" w:hAnsi="宋体"/>
                <w:szCs w:val="22"/>
              </w:rPr>
              <w:t>与顾客接触的业务流程：客人接待引导→点餐→送菜→就餐服务→送客</w:t>
            </w:r>
          </w:p>
          <w:p>
            <w:pPr>
              <w:spacing w:line="360" w:lineRule="auto"/>
              <w:rPr>
                <w:rFonts w:ascii="宋体" w:hAnsi="宋体"/>
                <w:szCs w:val="22"/>
              </w:rPr>
            </w:pPr>
            <w:r>
              <w:rPr>
                <w:rFonts w:hint="eastAsia" w:ascii="宋体" w:hAnsi="宋体"/>
                <w:szCs w:val="22"/>
              </w:rPr>
              <w:t>三、物业管理服务流程：</w:t>
            </w:r>
          </w:p>
          <w:p>
            <w:pPr>
              <w:spacing w:line="360" w:lineRule="auto"/>
            </w:pPr>
            <w:r>
              <w:rPr>
                <w:rFonts w:hint="eastAsia" w:ascii="宋体" w:hAnsi="宋体"/>
                <w:szCs w:val="22"/>
              </w:rPr>
              <w:t>项目投标策划和获得管理合同——前期介入管理——项目物业的接收管理——业主交接房管理——业主装修管理——业主入住及日常管理——跟踪改进</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3" w:name="审核日期"/>
            <w:r>
              <w:rPr>
                <w:rFonts w:hint="eastAsia"/>
              </w:rPr>
              <w:t>2021年09月22日 下午至2021年09月24日 下午</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4" w:name="初审"/>
            <w:r>
              <w:rPr>
                <w:rFonts w:hint="eastAsia"/>
              </w:rPr>
              <w:t>■</w:t>
            </w:r>
            <w:bookmarkEnd w:id="14"/>
            <w:r>
              <w:rPr>
                <w:rFonts w:hint="eastAsia"/>
              </w:rPr>
              <w:t>初审二阶段：评价组织管理体系建立、实施运行的符合性及有效性，以确定是否推荐认证注册。</w:t>
            </w:r>
          </w:p>
          <w:p>
            <w:bookmarkStart w:id="15" w:name="监督勾选"/>
            <w:r>
              <w:rPr>
                <w:rFonts w:hint="eastAsia"/>
              </w:rPr>
              <w:t>■</w:t>
            </w:r>
            <w:bookmarkEnd w:id="15"/>
            <w:r>
              <w:rPr>
                <w:rFonts w:hint="eastAsia"/>
              </w:rPr>
              <w:t>监督审核：评价组织管理体系的持续符合性和有效性，以确定是否推荐保持认证证书。</w:t>
            </w:r>
          </w:p>
          <w:p>
            <w:bookmarkStart w:id="16" w:name="再认证勾选Add1"/>
            <w:r>
              <w:rPr>
                <w:rFonts w:hint="eastAsia"/>
              </w:rPr>
              <w:t>□</w:t>
            </w:r>
            <w:bookmarkEnd w:id="16"/>
            <w:r>
              <w:rPr>
                <w:rFonts w:hint="eastAsia"/>
              </w:rPr>
              <w:t>再认证：评价组织管理体系整体的持续符合性和有效性，以确定是否推荐更新认证并换发认证证书。</w:t>
            </w:r>
          </w:p>
          <w:p>
            <w:bookmarkStart w:id="17" w:name="扩项勾选"/>
            <w:r>
              <w:rPr>
                <w:rFonts w:hint="eastAsia"/>
              </w:rPr>
              <w:t>□</w:t>
            </w:r>
            <w:bookmarkEnd w:id="17"/>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8" w:name="Q勾选Add1"/>
            <w:r>
              <w:rPr>
                <w:rFonts w:hint="eastAsia"/>
                <w:lang w:val="de-DE"/>
              </w:rPr>
              <w:t>■</w:t>
            </w:r>
            <w:bookmarkEnd w:id="18"/>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9" w:name="QJ勾选Add1"/>
            <w:r>
              <w:rPr>
                <w:rFonts w:hint="eastAsia"/>
                <w:lang w:val="de-DE"/>
              </w:rPr>
              <w:t>□</w:t>
            </w:r>
            <w:bookmarkEnd w:id="19"/>
            <w:r>
              <w:rPr>
                <w:rFonts w:hint="eastAsia"/>
                <w:lang w:val="de-DE"/>
              </w:rPr>
              <w:t>GB/T 50430-2017</w:t>
            </w:r>
          </w:p>
          <w:p>
            <w:pPr>
              <w:rPr>
                <w:lang w:val="de-DE"/>
              </w:rPr>
            </w:pPr>
            <w:bookmarkStart w:id="20" w:name="E勾选Add1"/>
            <w:r>
              <w:rPr>
                <w:rFonts w:hint="eastAsia"/>
                <w:lang w:val="de-DE"/>
              </w:rPr>
              <w:t>■</w:t>
            </w:r>
            <w:bookmarkEnd w:id="20"/>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1" w:name="S勾选Add1"/>
            <w:r>
              <w:rPr>
                <w:rFonts w:hint="eastAsia"/>
                <w:lang w:val="de-DE"/>
              </w:rPr>
              <w:t>■</w:t>
            </w:r>
            <w:bookmarkEnd w:id="21"/>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2" w:name="二阶段勾选"/>
            <w:r>
              <w:rPr>
                <w:rFonts w:hint="eastAsia"/>
              </w:rPr>
              <w:t>■</w:t>
            </w:r>
            <w:bookmarkEnd w:id="22"/>
            <w:r>
              <w:rPr>
                <w:rFonts w:hint="eastAsia"/>
              </w:rPr>
              <w:t>初审二阶段</w:t>
            </w:r>
            <w:bookmarkStart w:id="23" w:name="监督勾选Add1"/>
            <w:r>
              <w:rPr>
                <w:rFonts w:hint="eastAsia"/>
              </w:rPr>
              <w:t>■</w:t>
            </w:r>
            <w:bookmarkEnd w:id="23"/>
            <w:r>
              <w:rPr>
                <w:rFonts w:hint="eastAsia"/>
              </w:rPr>
              <w:t>监督第</w:t>
            </w:r>
            <w:bookmarkStart w:id="24" w:name="监督次数"/>
            <w:r>
              <w:rPr>
                <w:rFonts w:hint="eastAsia"/>
              </w:rPr>
              <w:t>一</w:t>
            </w:r>
            <w:bookmarkEnd w:id="24"/>
            <w:r>
              <w:rPr>
                <w:rFonts w:hint="eastAsia"/>
              </w:rPr>
              <w:t>次监督审核</w:t>
            </w:r>
            <w:bookmarkStart w:id="25" w:name="再认证勾选"/>
            <w:r>
              <w:rPr>
                <w:rFonts w:hint="eastAsia"/>
              </w:rPr>
              <w:t>□</w:t>
            </w:r>
            <w:bookmarkEnd w:id="25"/>
            <w:r>
              <w:rPr>
                <w:rFonts w:hint="eastAsia"/>
              </w:rPr>
              <w:t>再认证</w:t>
            </w:r>
            <w:bookmarkStart w:id="26" w:name="扩项勾选Add1"/>
            <w:r>
              <w:rPr>
                <w:rFonts w:hint="eastAsia"/>
              </w:rPr>
              <w:t>□</w:t>
            </w:r>
            <w:bookmarkEnd w:id="26"/>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7" w:name="审核范围"/>
            <w:r>
              <w:t>O：许可范围内的酒店经营管理（住宿、餐饮），物业管理及相关的职业健康安全管理活动</w:t>
            </w:r>
          </w:p>
          <w:p>
            <w:r>
              <w:t>Q：许可范围内的酒店经营管理（住宿、餐饮），物业管理</w:t>
            </w:r>
          </w:p>
          <w:p>
            <w:r>
              <w:t>E：许可范围内的酒店经营管理（住宿、餐饮），物业管理及相关的环境管理活动</w:t>
            </w:r>
            <w:bookmarkEnd w:id="27"/>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8" w:name="专业代码"/>
            <w:r>
              <w:t>O：30.01.00;30.05.00;35.15.00</w:t>
            </w:r>
          </w:p>
          <w:p>
            <w:r>
              <w:t>Q：30.01.00;30.05.00;35.15.00</w:t>
            </w:r>
          </w:p>
          <w:p>
            <w:r>
              <w:t>E：30.01.00;30.05.00;35.15.00</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rPr>
              <w:t>□受审核组织没有设计开发的能力</w:t>
            </w:r>
          </w:p>
          <w:p>
            <w:pPr>
              <w:spacing w:line="240" w:lineRule="auto"/>
            </w:pPr>
            <w:r>
              <w:rPr>
                <w:rFonts w:hint="eastAsia"/>
                <w:lang w:eastAsia="zh-CN"/>
              </w:rPr>
              <w:t>■</w:t>
            </w:r>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6</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ascii="Times New Roman" w:hAnsi="Times New Roman" w:eastAsia="宋体" w:cs="Times New Roman"/>
                <w:lang w:val="en-US" w:eastAsia="zh-CN"/>
              </w:rPr>
            </w:pPr>
            <w:r>
              <w:rPr>
                <w:rFonts w:hint="eastAsia"/>
                <w:lang w:val="en-US" w:eastAsia="zh-CN"/>
              </w:rPr>
              <w:t>O</w:t>
            </w:r>
            <w:r>
              <w:rPr>
                <w:rFonts w:hint="eastAsia" w:ascii="Times New Roman" w:hAnsi="Times New Roman" w:eastAsia="宋体" w:cs="Times New Roman"/>
                <w:lang w:val="en-US" w:eastAsia="zh-CN"/>
              </w:rPr>
              <w:t>:</w:t>
            </w:r>
            <w:r>
              <w:rPr>
                <w:rFonts w:hint="eastAsia" w:ascii="Times New Roman" w:hAnsi="Times New Roman" w:eastAsia="宋体" w:cs="Times New Roman"/>
              </w:rPr>
              <w:t>2020年11月24日</w:t>
            </w:r>
            <w:r>
              <w:rPr>
                <w:rFonts w:hint="eastAsia" w:ascii="Times New Roman" w:hAnsi="Times New Roman" w:eastAsia="宋体" w:cs="Times New Roman"/>
                <w:lang w:val="en-US" w:eastAsia="zh-CN"/>
              </w:rPr>
              <w:t>-25日</w:t>
            </w:r>
          </w:p>
          <w:p>
            <w:pPr>
              <w:rPr>
                <w:rFonts w:hint="default" w:eastAsia="宋体"/>
                <w:lang w:val="en-US" w:eastAsia="zh-CN"/>
              </w:rPr>
            </w:pPr>
            <w:r>
              <w:rPr>
                <w:rFonts w:hint="eastAsia" w:ascii="Times New Roman" w:hAnsi="Times New Roman" w:eastAsia="宋体" w:cs="Times New Roman"/>
                <w:lang w:val="en-US" w:eastAsia="zh-CN"/>
              </w:rPr>
              <w:t>Q:</w:t>
            </w:r>
            <w:r>
              <w:rPr>
                <w:rFonts w:hint="eastAsia" w:ascii="Times New Roman" w:hAnsi="Times New Roman" w:eastAsia="宋体" w:cs="Times New Roman"/>
              </w:rPr>
              <w:t>2020年07月30日</w:t>
            </w:r>
            <w:r>
              <w:rPr>
                <w:rFonts w:hint="eastAsia" w:ascii="Times New Roman" w:hAnsi="Times New Roman" w:eastAsia="宋体" w:cs="Times New Roman"/>
                <w:lang w:val="en-US" w:eastAsia="zh-CN"/>
              </w:rPr>
              <w:t>-31日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eastAsia"/>
              </w:rPr>
            </w:pPr>
            <w:r>
              <w:rPr>
                <w:rFonts w:hint="eastAsia"/>
                <w:lang w:val="en-US" w:eastAsia="zh-CN"/>
              </w:rPr>
              <w:t>Q:</w:t>
            </w:r>
            <w:r>
              <w:rPr>
                <w:rFonts w:hint="eastAsia"/>
              </w:rPr>
              <w:t>有效至</w:t>
            </w:r>
            <w:r>
              <w:rPr>
                <w:rFonts w:hint="eastAsia"/>
                <w:lang w:val="en-US" w:eastAsia="zh-CN"/>
              </w:rPr>
              <w:t>2023</w:t>
            </w:r>
            <w:r>
              <w:rPr>
                <w:rFonts w:hint="eastAsia"/>
              </w:rPr>
              <w:t>年</w:t>
            </w:r>
            <w:r>
              <w:rPr>
                <w:rFonts w:hint="eastAsia"/>
                <w:lang w:val="en-US" w:eastAsia="zh-CN"/>
              </w:rPr>
              <w:t>08</w:t>
            </w:r>
            <w:r>
              <w:rPr>
                <w:rFonts w:hint="eastAsia"/>
              </w:rPr>
              <w:t>月</w:t>
            </w:r>
            <w:r>
              <w:rPr>
                <w:rFonts w:hint="eastAsia"/>
                <w:lang w:val="en-US" w:eastAsia="zh-CN"/>
              </w:rPr>
              <w:t>03</w:t>
            </w:r>
            <w:r>
              <w:rPr>
                <w:rFonts w:hint="eastAsia"/>
              </w:rPr>
              <w:t>日</w:t>
            </w:r>
          </w:p>
          <w:p>
            <w:pPr>
              <w:pStyle w:val="12"/>
              <w:rPr>
                <w:rFonts w:hint="default" w:eastAsia="宋体"/>
                <w:lang w:val="en-US" w:eastAsia="zh-CN"/>
              </w:rPr>
            </w:pPr>
            <w:r>
              <w:rPr>
                <w:rFonts w:hint="eastAsia"/>
                <w:lang w:val="en-US" w:eastAsia="zh-CN"/>
              </w:rPr>
              <w:t>O:</w:t>
            </w:r>
            <w:r>
              <w:rPr>
                <w:rFonts w:hint="eastAsia"/>
              </w:rPr>
              <w:t>有效至</w:t>
            </w:r>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10</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746"/>
        <w:gridCol w:w="564"/>
        <w:gridCol w:w="1787"/>
        <w:gridCol w:w="221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746" w:type="dxa"/>
            <w:shd w:val="clear" w:color="auto" w:fill="F3F3F3"/>
            <w:tcMar>
              <w:left w:w="57" w:type="dxa"/>
              <w:right w:w="57" w:type="dxa"/>
            </w:tcMar>
          </w:tcPr>
          <w:p>
            <w:r>
              <w:rPr>
                <w:rFonts w:hint="eastAsia"/>
              </w:rPr>
              <w:t>经营场所的地址</w:t>
            </w:r>
          </w:p>
          <w:p>
            <w:r>
              <w:rPr>
                <w:rFonts w:hint="eastAsia"/>
              </w:rPr>
              <w:t>（多现场和临时现场）</w:t>
            </w:r>
          </w:p>
        </w:tc>
        <w:tc>
          <w:tcPr>
            <w:tcW w:w="564" w:type="dxa"/>
            <w:shd w:val="clear" w:color="auto" w:fill="F3F3F3"/>
            <w:tcMar>
              <w:left w:w="57" w:type="dxa"/>
              <w:right w:w="57" w:type="dxa"/>
            </w:tcMar>
          </w:tcPr>
          <w:p>
            <w:r>
              <w:rPr>
                <w:rFonts w:hint="eastAsia"/>
              </w:rPr>
              <w:t>员工人数</w:t>
            </w:r>
          </w:p>
        </w:tc>
        <w:tc>
          <w:tcPr>
            <w:tcW w:w="1787" w:type="dxa"/>
            <w:shd w:val="clear" w:color="auto" w:fill="F3F3F3"/>
            <w:tcMar>
              <w:left w:w="57" w:type="dxa"/>
              <w:right w:w="57" w:type="dxa"/>
            </w:tcMar>
          </w:tcPr>
          <w:p>
            <w:r>
              <w:rPr>
                <w:rFonts w:hint="eastAsia"/>
              </w:rPr>
              <w:t>审核范围（产品和过程）</w:t>
            </w:r>
          </w:p>
          <w:p/>
          <w:p/>
        </w:tc>
        <w:tc>
          <w:tcPr>
            <w:tcW w:w="2213"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重庆金科两江大酒店有限公司</w:t>
            </w:r>
            <w:r>
              <w:rPr>
                <w:rFonts w:hint="eastAsia"/>
                <w:sz w:val="21"/>
                <w:szCs w:val="21"/>
                <w:lang w:val="en-US" w:eastAsia="zh-CN"/>
              </w:rPr>
              <w:t>/</w:t>
            </w:r>
            <w:r>
              <w:rPr>
                <w:rFonts w:asciiTheme="minorEastAsia" w:hAnsiTheme="minorEastAsia" w:eastAsiaTheme="minorEastAsia"/>
                <w:sz w:val="20"/>
              </w:rPr>
              <w:t>重庆市涪陵区滨江大道二段6号</w:t>
            </w:r>
          </w:p>
        </w:tc>
        <w:tc>
          <w:tcPr>
            <w:tcW w:w="1746" w:type="dxa"/>
          </w:tcPr>
          <w:p>
            <w:pPr>
              <w:rPr>
                <w:lang w:val="de-DE" w:eastAsia="ja-JP"/>
              </w:rPr>
            </w:pPr>
            <w:r>
              <w:rPr>
                <w:rFonts w:asciiTheme="minorEastAsia" w:hAnsiTheme="minorEastAsia" w:eastAsiaTheme="minorEastAsia"/>
                <w:sz w:val="20"/>
              </w:rPr>
              <w:t>重庆市涪陵区滨江大道二段6号</w:t>
            </w:r>
          </w:p>
        </w:tc>
        <w:tc>
          <w:tcPr>
            <w:tcW w:w="564" w:type="dxa"/>
            <w:vAlign w:val="center"/>
          </w:tcPr>
          <w:p>
            <w:pPr>
              <w:rPr>
                <w:rFonts w:hint="default" w:eastAsia="宋体"/>
                <w:lang w:val="en-US" w:eastAsia="zh-CN"/>
              </w:rPr>
            </w:pPr>
            <w:r>
              <w:rPr>
                <w:rFonts w:hint="eastAsia"/>
                <w:lang w:val="en-US" w:eastAsia="zh-CN"/>
              </w:rPr>
              <w:t>210</w:t>
            </w:r>
          </w:p>
        </w:tc>
        <w:tc>
          <w:tcPr>
            <w:tcW w:w="1787" w:type="dxa"/>
            <w:vAlign w:val="center"/>
          </w:tcPr>
          <w:p>
            <w:pPr>
              <w:rPr>
                <w:lang w:eastAsia="ja-JP"/>
              </w:rPr>
            </w:pPr>
            <w:r>
              <w:rPr>
                <w:sz w:val="20"/>
              </w:rPr>
              <w:t>许可范围内的酒店经营管理（住宿、餐饮）</w:t>
            </w:r>
          </w:p>
        </w:tc>
        <w:tc>
          <w:tcPr>
            <w:tcW w:w="2213" w:type="dxa"/>
            <w:vAlign w:val="center"/>
          </w:tcPr>
          <w:p>
            <w:pPr>
              <w:rPr>
                <w:rFonts w:hint="eastAsia" w:ascii="宋体" w:hAnsi="宋体"/>
                <w:b w:val="0"/>
                <w:bCs/>
                <w:sz w:val="21"/>
                <w:szCs w:val="21"/>
              </w:rPr>
            </w:pPr>
            <w:r>
              <w:rPr>
                <w:rFonts w:hint="eastAsia" w:ascii="宋体" w:hAnsi="宋体"/>
                <w:b w:val="0"/>
                <w:bCs/>
                <w:sz w:val="21"/>
                <w:szCs w:val="21"/>
              </w:rPr>
              <w:t>GB/T19001-2016</w:t>
            </w:r>
          </w:p>
          <w:p>
            <w:pPr>
              <w:rPr>
                <w:rFonts w:hint="eastAsia" w:ascii="宋体" w:hAnsi="宋体"/>
                <w:b w:val="0"/>
                <w:bCs/>
                <w:sz w:val="21"/>
                <w:szCs w:val="21"/>
              </w:rPr>
            </w:pPr>
            <w:r>
              <w:rPr>
                <w:rFonts w:hint="eastAsia" w:ascii="宋体" w:hAnsi="宋体"/>
                <w:b w:val="0"/>
                <w:bCs/>
                <w:sz w:val="21"/>
                <w:szCs w:val="21"/>
              </w:rPr>
              <w:t>GB/T24001-2016</w:t>
            </w:r>
          </w:p>
          <w:p>
            <w:pPr>
              <w:rPr>
                <w:rFonts w:hint="eastAsia" w:eastAsia="宋体"/>
                <w:b w:val="0"/>
                <w:bCs/>
                <w:lang w:eastAsia="zh-CN"/>
              </w:rPr>
            </w:pPr>
            <w:r>
              <w:rPr>
                <w:rFonts w:hint="eastAsia" w:ascii="宋体" w:hAnsi="宋体"/>
                <w:b w:val="0"/>
                <w:bCs/>
                <w:sz w:val="21"/>
                <w:szCs w:val="21"/>
              </w:rPr>
              <w:t>GB/T45001-2020</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746" w:type="dxa"/>
            <w:vAlign w:val="center"/>
          </w:tcPr>
          <w:p>
            <w:pPr>
              <w:rPr>
                <w:lang w:eastAsia="ja-JP"/>
              </w:rPr>
            </w:pPr>
            <w:r>
              <w:rPr>
                <w:rFonts w:hint="eastAsia"/>
                <w:color w:val="000000"/>
              </w:rPr>
              <w:t>重庆</w:t>
            </w:r>
            <w:r>
              <w:rPr>
                <w:color w:val="000000"/>
              </w:rPr>
              <w:t>市渝北区松</w:t>
            </w:r>
            <w:r>
              <w:rPr>
                <w:rFonts w:hint="eastAsia"/>
                <w:color w:val="000000"/>
              </w:rPr>
              <w:t>牌</w:t>
            </w:r>
            <w:r>
              <w:rPr>
                <w:color w:val="000000"/>
              </w:rPr>
              <w:t>路</w:t>
            </w:r>
            <w:r>
              <w:rPr>
                <w:rFonts w:hint="eastAsia"/>
                <w:color w:val="000000"/>
              </w:rPr>
              <w:t>100号</w:t>
            </w:r>
          </w:p>
        </w:tc>
        <w:tc>
          <w:tcPr>
            <w:tcW w:w="564" w:type="dxa"/>
            <w:vAlign w:val="center"/>
          </w:tcPr>
          <w:p>
            <w:pPr>
              <w:rPr>
                <w:rFonts w:hint="default" w:eastAsia="宋体"/>
                <w:lang w:val="en-US" w:eastAsia="zh-CN"/>
              </w:rPr>
            </w:pPr>
            <w:r>
              <w:rPr>
                <w:rFonts w:hint="eastAsia"/>
                <w:lang w:val="en-US" w:eastAsia="zh-CN"/>
              </w:rPr>
              <w:t>50</w:t>
            </w:r>
          </w:p>
        </w:tc>
        <w:tc>
          <w:tcPr>
            <w:tcW w:w="1787" w:type="dxa"/>
            <w:vAlign w:val="center"/>
          </w:tcPr>
          <w:p>
            <w:pPr>
              <w:rPr>
                <w:lang w:eastAsia="ja-JP"/>
              </w:rPr>
            </w:pPr>
            <w:r>
              <w:rPr>
                <w:sz w:val="20"/>
              </w:rPr>
              <w:t>物业管理</w:t>
            </w:r>
          </w:p>
        </w:tc>
        <w:tc>
          <w:tcPr>
            <w:tcW w:w="2213" w:type="dxa"/>
            <w:vAlign w:val="center"/>
          </w:tcPr>
          <w:p>
            <w:pPr>
              <w:rPr>
                <w:rFonts w:hint="eastAsia" w:ascii="宋体" w:hAnsi="宋体"/>
                <w:b w:val="0"/>
                <w:bCs/>
                <w:sz w:val="21"/>
                <w:szCs w:val="21"/>
              </w:rPr>
            </w:pPr>
            <w:r>
              <w:rPr>
                <w:rFonts w:hint="eastAsia" w:ascii="宋体" w:hAnsi="宋体"/>
                <w:b w:val="0"/>
                <w:bCs/>
                <w:sz w:val="21"/>
                <w:szCs w:val="21"/>
              </w:rPr>
              <w:t>GB/T19001-2016</w:t>
            </w:r>
          </w:p>
          <w:p>
            <w:pPr>
              <w:rPr>
                <w:rFonts w:hint="eastAsia" w:ascii="宋体" w:hAnsi="宋体"/>
                <w:b w:val="0"/>
                <w:bCs/>
                <w:sz w:val="21"/>
                <w:szCs w:val="21"/>
              </w:rPr>
            </w:pPr>
            <w:r>
              <w:rPr>
                <w:rFonts w:hint="eastAsia" w:ascii="宋体" w:hAnsi="宋体"/>
                <w:b w:val="0"/>
                <w:bCs/>
                <w:sz w:val="21"/>
                <w:szCs w:val="21"/>
              </w:rPr>
              <w:t>GB/T24001-2016</w:t>
            </w:r>
          </w:p>
          <w:p>
            <w:pPr>
              <w:rPr>
                <w:b w:val="0"/>
                <w:bCs/>
                <w:lang w:eastAsia="ja-JP"/>
              </w:rPr>
            </w:pPr>
            <w:r>
              <w:rPr>
                <w:rFonts w:hint="eastAsia" w:ascii="宋体" w:hAnsi="宋体"/>
                <w:b w:val="0"/>
                <w:bCs/>
                <w:sz w:val="21"/>
                <w:szCs w:val="21"/>
              </w:rPr>
              <w:t>GB/T45001-2020</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746" w:type="dxa"/>
            <w:vAlign w:val="center"/>
          </w:tcPr>
          <w:p>
            <w:pPr>
              <w:rPr>
                <w:lang w:eastAsia="ja-JP"/>
              </w:rPr>
            </w:pPr>
          </w:p>
        </w:tc>
        <w:tc>
          <w:tcPr>
            <w:tcW w:w="564" w:type="dxa"/>
            <w:vAlign w:val="center"/>
          </w:tcPr>
          <w:p>
            <w:pPr>
              <w:rPr>
                <w:lang w:eastAsia="ja-JP"/>
              </w:rPr>
            </w:pPr>
          </w:p>
        </w:tc>
        <w:tc>
          <w:tcPr>
            <w:tcW w:w="1787" w:type="dxa"/>
            <w:vAlign w:val="center"/>
          </w:tcPr>
          <w:p>
            <w:pPr>
              <w:rPr>
                <w:lang w:eastAsia="ja-JP"/>
              </w:rPr>
            </w:pPr>
          </w:p>
        </w:tc>
        <w:tc>
          <w:tcPr>
            <w:tcW w:w="2213"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746" w:type="dxa"/>
            <w:vAlign w:val="center"/>
          </w:tcPr>
          <w:p>
            <w:pPr>
              <w:rPr>
                <w:lang w:eastAsia="ja-JP"/>
              </w:rPr>
            </w:pPr>
          </w:p>
        </w:tc>
        <w:tc>
          <w:tcPr>
            <w:tcW w:w="564" w:type="dxa"/>
            <w:vAlign w:val="center"/>
          </w:tcPr>
          <w:p>
            <w:pPr>
              <w:rPr>
                <w:lang w:eastAsia="ja-JP"/>
              </w:rPr>
            </w:pPr>
          </w:p>
        </w:tc>
        <w:tc>
          <w:tcPr>
            <w:tcW w:w="1787" w:type="dxa"/>
            <w:vAlign w:val="center"/>
          </w:tcPr>
          <w:p>
            <w:pPr>
              <w:rPr>
                <w:lang w:eastAsia="ja-JP"/>
              </w:rPr>
            </w:pPr>
          </w:p>
        </w:tc>
        <w:tc>
          <w:tcPr>
            <w:tcW w:w="2213"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746" w:type="dxa"/>
            <w:vAlign w:val="center"/>
          </w:tcPr>
          <w:p>
            <w:pPr>
              <w:rPr>
                <w:lang w:eastAsia="ja-JP"/>
              </w:rPr>
            </w:pPr>
          </w:p>
        </w:tc>
        <w:tc>
          <w:tcPr>
            <w:tcW w:w="564" w:type="dxa"/>
            <w:vAlign w:val="center"/>
          </w:tcPr>
          <w:p>
            <w:pPr>
              <w:rPr>
                <w:lang w:eastAsia="ja-JP"/>
              </w:rPr>
            </w:pPr>
          </w:p>
        </w:tc>
        <w:tc>
          <w:tcPr>
            <w:tcW w:w="1787" w:type="dxa"/>
            <w:vAlign w:val="center"/>
          </w:tcPr>
          <w:p>
            <w:pPr>
              <w:rPr>
                <w:lang w:eastAsia="ja-JP"/>
              </w:rPr>
            </w:pPr>
          </w:p>
        </w:tc>
        <w:tc>
          <w:tcPr>
            <w:tcW w:w="2213"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208"/>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208" w:type="dxa"/>
            <w:vAlign w:val="center"/>
          </w:tcPr>
          <w:p>
            <w:r>
              <w:rPr>
                <w:rFonts w:hint="eastAsia"/>
              </w:rPr>
              <w:t>审核员注册证书号</w:t>
            </w:r>
          </w:p>
        </w:tc>
        <w:tc>
          <w:tcPr>
            <w:tcW w:w="2841"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208" w:type="dxa"/>
            <w:vAlign w:val="center"/>
          </w:tcPr>
          <w:p>
            <w:r>
              <w:t>2019-N1OHSMS-2093566</w:t>
            </w:r>
          </w:p>
          <w:p>
            <w:r>
              <w:t>2019-N1QMS-3093566</w:t>
            </w:r>
          </w:p>
          <w:p>
            <w:r>
              <w:t>2021-N1EMS-3093566</w:t>
            </w:r>
          </w:p>
        </w:tc>
        <w:tc>
          <w:tcPr>
            <w:tcW w:w="2841" w:type="dxa"/>
            <w:vAlign w:val="center"/>
          </w:tcPr>
          <w:p>
            <w:r>
              <w:t>O:30.05.00,35.15.00</w:t>
            </w:r>
          </w:p>
          <w:p>
            <w:r>
              <w:t>Q:35.15.00</w:t>
            </w:r>
          </w:p>
          <w:p>
            <w:r>
              <w:t>E:30.01.00,30.05.00,35.15.00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罗欢</w:t>
            </w:r>
          </w:p>
        </w:tc>
        <w:tc>
          <w:tcPr>
            <w:tcW w:w="1089" w:type="dxa"/>
            <w:vAlign w:val="center"/>
          </w:tcPr>
          <w:p>
            <w:r>
              <w:t>组员</w:t>
            </w:r>
          </w:p>
        </w:tc>
        <w:tc>
          <w:tcPr>
            <w:tcW w:w="711" w:type="dxa"/>
            <w:vAlign w:val="center"/>
          </w:tcPr>
          <w:p>
            <w:r>
              <w:t>女</w:t>
            </w:r>
          </w:p>
        </w:tc>
        <w:tc>
          <w:tcPr>
            <w:tcW w:w="3208" w:type="dxa"/>
            <w:vAlign w:val="center"/>
          </w:tcPr>
          <w:p>
            <w:r>
              <w:t>ISC-JSZJ-039</w:t>
            </w:r>
          </w:p>
          <w:p>
            <w:r>
              <w:t>重庆涪陵泰皇酒店</w:t>
            </w:r>
          </w:p>
        </w:tc>
        <w:tc>
          <w:tcPr>
            <w:tcW w:w="2841" w:type="dxa"/>
            <w:vAlign w:val="center"/>
          </w:tcPr>
          <w:p>
            <w:r>
              <w:t>O:30.01.00,30.05.00</w:t>
            </w:r>
          </w:p>
          <w:p>
            <w:r>
              <w:t>Q:30.01.00,30.05.00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208" w:type="dxa"/>
            <w:vAlign w:val="center"/>
          </w:tcPr>
          <w:p>
            <w:r>
              <w:t>2021-N1QMS-3207381</w:t>
            </w:r>
          </w:p>
        </w:tc>
        <w:tc>
          <w:tcPr>
            <w:tcW w:w="284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208" w:type="dxa"/>
            <w:vAlign w:val="center"/>
          </w:tcPr>
          <w:p>
            <w:r>
              <w:t>2020-N1QMS-1267598</w:t>
            </w:r>
          </w:p>
          <w:p>
            <w:r>
              <w:t>2020-N1EMS-1267598</w:t>
            </w:r>
          </w:p>
        </w:tc>
        <w:tc>
          <w:tcPr>
            <w:tcW w:w="2841" w:type="dxa"/>
            <w:vAlign w:val="center"/>
          </w:tcPr>
          <w:p>
            <w:r>
              <w:t>E:30.01.00,30.05.00,35.15.00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208" w:type="dxa"/>
            <w:vAlign w:val="center"/>
          </w:tcPr>
          <w:p/>
        </w:tc>
        <w:tc>
          <w:tcPr>
            <w:tcW w:w="284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208" w:type="dxa"/>
            <w:vAlign w:val="center"/>
          </w:tcPr>
          <w:p/>
        </w:tc>
        <w:tc>
          <w:tcPr>
            <w:tcW w:w="284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208" w:type="dxa"/>
            <w:vAlign w:val="center"/>
          </w:tcPr>
          <w:p>
            <w:r>
              <w:rPr>
                <w:rFonts w:hint="eastAsia"/>
              </w:rPr>
              <w:t>工作单位</w:t>
            </w:r>
          </w:p>
        </w:tc>
        <w:tc>
          <w:tcPr>
            <w:tcW w:w="2841"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rFonts w:ascii="Times New Roman" w:hAnsi="Times New Roman" w:eastAsia="宋体" w:cs="Times New Roman"/>
                <w:kern w:val="2"/>
                <w:sz w:val="21"/>
                <w:szCs w:val="24"/>
                <w:lang w:val="en-US" w:eastAsia="zh-CN" w:bidi="ar-SA"/>
              </w:rPr>
            </w:pPr>
            <w:r>
              <w:t>罗欢</w:t>
            </w:r>
          </w:p>
        </w:tc>
        <w:tc>
          <w:tcPr>
            <w:tcW w:w="1089" w:type="dxa"/>
            <w:vAlign w:val="center"/>
          </w:tcPr>
          <w:p>
            <w:pP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专家</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208" w:type="dxa"/>
            <w:vAlign w:val="center"/>
          </w:tcPr>
          <w:p>
            <w:pPr>
              <w:rPr>
                <w:rFonts w:ascii="Times New Roman" w:hAnsi="Times New Roman" w:eastAsia="宋体" w:cs="Times New Roman"/>
                <w:kern w:val="2"/>
                <w:sz w:val="21"/>
                <w:szCs w:val="24"/>
                <w:lang w:val="en-US" w:eastAsia="zh-CN" w:bidi="ar-SA"/>
              </w:rPr>
            </w:pPr>
            <w:r>
              <w:t>重庆涪陵泰皇酒店</w:t>
            </w:r>
          </w:p>
        </w:tc>
        <w:tc>
          <w:tcPr>
            <w:tcW w:w="2841" w:type="dxa"/>
            <w:vAlign w:val="center"/>
          </w:tcPr>
          <w:p>
            <w:r>
              <w:rPr>
                <w:rFonts w:hint="eastAsia"/>
                <w:sz w:val="20"/>
                <w:lang w:val="de-DE"/>
              </w:rPr>
              <w:t>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208" w:type="dxa"/>
            <w:vAlign w:val="center"/>
          </w:tcPr>
          <w:p/>
        </w:tc>
        <w:tc>
          <w:tcPr>
            <w:tcW w:w="2841"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一阶段无问题验证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ascii="宋体" w:hAnsi="宋体" w:cs="新宋体"/>
                <w:sz w:val="21"/>
                <w:szCs w:val="21"/>
                <w:lang w:val="en-US" w:eastAsia="zh-CN"/>
              </w:rPr>
              <w:t>上次不符合为：</w:t>
            </w:r>
            <w:r>
              <w:rPr>
                <w:rFonts w:hint="eastAsia" w:ascii="宋体" w:hAnsi="宋体" w:cs="新宋体"/>
                <w:sz w:val="21"/>
                <w:szCs w:val="21"/>
              </w:rPr>
              <w:t>工程部Q7.1.5;人行部S7.2</w:t>
            </w:r>
            <w:r>
              <w:rPr>
                <w:rFonts w:hint="eastAsia" w:ascii="宋体" w:hAnsi="宋体" w:cs="新宋体"/>
                <w:sz w:val="21"/>
                <w:szCs w:val="21"/>
                <w:lang w:eastAsia="zh-CN"/>
              </w:rPr>
              <w:t>，</w:t>
            </w:r>
            <w:r>
              <w:rPr>
                <w:rFonts w:hint="eastAsia" w:ascii="宋体" w:hAnsi="宋体" w:cs="新宋体"/>
                <w:sz w:val="21"/>
                <w:szCs w:val="21"/>
                <w:lang w:val="en-US" w:eastAsia="zh-CN"/>
              </w:rPr>
              <w:t>经本次审核验证无类似情况出现，整改有效。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p>
        </w:tc>
        <w:tc>
          <w:tcPr>
            <w:tcW w:w="1717" w:type="dxa"/>
          </w:tcPr>
          <w:p>
            <w:pPr>
              <w:rPr>
                <w:rFonts w:hint="eastAsia" w:eastAsia="宋体"/>
                <w:highlight w:val="none"/>
                <w:lang w:val="en-US" w:eastAsia="zh-CN"/>
              </w:rPr>
            </w:pPr>
          </w:p>
        </w:tc>
        <w:tc>
          <w:tcPr>
            <w:tcW w:w="1560" w:type="dxa"/>
          </w:tcPr>
          <w:p>
            <w:pPr>
              <w:rPr>
                <w:rFonts w:hint="eastAsia" w:eastAsia="宋体"/>
                <w:highlight w:val="none"/>
                <w:lang w:val="en-US" w:eastAsia="zh-CN"/>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0</w:t>
            </w:r>
          </w:p>
        </w:tc>
        <w:tc>
          <w:tcPr>
            <w:tcW w:w="156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0</w:t>
            </w:r>
          </w:p>
        </w:tc>
        <w:tc>
          <w:tcPr>
            <w:tcW w:w="156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9" w:name="Q勾选Add2"/>
            <w:r>
              <w:rPr>
                <w:rFonts w:hint="eastAsia"/>
              </w:rPr>
              <w:t>■</w:t>
            </w:r>
            <w:bookmarkEnd w:id="29"/>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E勾选Add2"/>
            <w:r>
              <w:rPr>
                <w:rFonts w:hint="eastAsia"/>
              </w:rPr>
              <w:t>■</w:t>
            </w:r>
            <w:bookmarkEnd w:id="30"/>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S勾选Add2"/>
            <w:r>
              <w:rPr>
                <w:rFonts w:hint="eastAsia"/>
              </w:rPr>
              <w:t>■</w:t>
            </w:r>
            <w:bookmarkEnd w:id="31"/>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许可范围内的酒店经营管理（住宿、餐饮），物业管理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许可范围内的酒店经营管理（住宿、餐饮），物业管理及相关的环境管理活动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许可范围内的酒店经营管理（住宿、餐饮），物业管理及相关的职业健康安全管理活动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4" w:hRule="exact"/>
          <w:jc w:val="center"/>
        </w:trPr>
        <w:tc>
          <w:tcPr>
            <w:tcW w:w="1842" w:type="dxa"/>
          </w:tcPr>
          <w:p>
            <w:r>
              <w:rPr>
                <w:rFonts w:hint="eastAsia"/>
              </w:rPr>
              <w:t>审核组长签字</w:t>
            </w:r>
          </w:p>
        </w:tc>
        <w:tc>
          <w:tcPr>
            <w:tcW w:w="2764" w:type="dxa"/>
            <w:tcMar>
              <w:left w:w="113" w:type="dxa"/>
            </w:tcMar>
          </w:tcPr>
          <w:p>
            <w:r>
              <w:rPr>
                <w:rFonts w:hint="eastAsia" w:ascii="宋体" w:hAnsi="宋体" w:eastAsia="宋体" w:cs="Times New Roman"/>
                <w:kern w:val="2"/>
                <w:sz w:val="21"/>
                <w:szCs w:val="22"/>
                <w:lang w:val="en-US" w:eastAsia="zh-CN" w:bidi="ar-SA"/>
              </w:rPr>
              <w:drawing>
                <wp:anchor distT="0" distB="0" distL="114300" distR="114300" simplePos="0" relativeHeight="251661312" behindDoc="0" locked="0" layoutInCell="1" allowOverlap="1">
                  <wp:simplePos x="0" y="0"/>
                  <wp:positionH relativeFrom="column">
                    <wp:posOffset>462280</wp:posOffset>
                  </wp:positionH>
                  <wp:positionV relativeFrom="paragraph">
                    <wp:posOffset>90170</wp:posOffset>
                  </wp:positionV>
                  <wp:extent cx="411480" cy="381000"/>
                  <wp:effectExtent l="0" t="0" r="7620" b="0"/>
                  <wp:wrapNone/>
                  <wp:docPr id="1"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45e69cce4380e02713697e955d1ffd9"/>
                          <pic:cNvPicPr>
                            <a:picLocks noChangeAspect="1"/>
                          </pic:cNvPicPr>
                        </pic:nvPicPr>
                        <pic:blipFill>
                          <a:blip r:embed="rId6"/>
                          <a:stretch>
                            <a:fillRect/>
                          </a:stretch>
                        </pic:blipFill>
                        <pic:spPr>
                          <a:xfrm>
                            <a:off x="0" y="0"/>
                            <a:ext cx="411480" cy="381000"/>
                          </a:xfrm>
                          <a:prstGeom prst="rect">
                            <a:avLst/>
                          </a:prstGeom>
                          <a:noFill/>
                          <a:ln>
                            <a:noFill/>
                          </a:ln>
                        </pic:spPr>
                      </pic:pic>
                    </a:graphicData>
                  </a:graphic>
                </wp:anchor>
              </w:drawing>
            </w:r>
          </w:p>
          <w:p/>
          <w:p>
            <w:pPr>
              <w:pStyle w:val="12"/>
            </w:pPr>
          </w:p>
          <w:p>
            <w:pPr>
              <w:pStyle w:val="12"/>
            </w:pPr>
          </w:p>
        </w:tc>
        <w:tc>
          <w:tcPr>
            <w:tcW w:w="2764" w:type="dxa"/>
            <w:tcMar>
              <w:left w:w="113" w:type="dxa"/>
            </w:tcMar>
          </w:tcPr>
          <w:p>
            <w:pPr>
              <w:rPr>
                <w:color w:val="auto"/>
              </w:rPr>
            </w:pPr>
            <w:r>
              <w:rPr>
                <w:rFonts w:hint="eastAsia"/>
                <w:color w:val="auto"/>
              </w:rPr>
              <w:t>日期</w:t>
            </w:r>
          </w:p>
        </w:tc>
        <w:tc>
          <w:tcPr>
            <w:tcW w:w="2766" w:type="dxa"/>
            <w:tcMar>
              <w:left w:w="113" w:type="dxa"/>
            </w:tcMar>
            <w:vAlign w:val="center"/>
          </w:tcPr>
          <w:p>
            <w:pPr>
              <w:rPr>
                <w:rFonts w:hint="default" w:ascii="宋体" w:eastAsia="宋体"/>
                <w:b/>
                <w:color w:val="auto"/>
                <w:szCs w:val="21"/>
                <w:lang w:val="en-US" w:eastAsia="zh-CN"/>
              </w:rPr>
            </w:pPr>
            <w:r>
              <w:rPr>
                <w:rFonts w:hint="eastAsia" w:ascii="宋体"/>
                <w:b/>
                <w:color w:val="auto"/>
                <w:szCs w:val="21"/>
                <w:lang w:val="en-US" w:eastAsia="zh-CN"/>
              </w:rPr>
              <w:t>2021年9月24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外部环境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法律法规 □技术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内部环境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新产品设计开发</w:t>
            </w:r>
            <w:r>
              <w:rPr>
                <w:rFonts w:hint="eastAsia"/>
                <w:lang w:val="en-US" w:eastAsia="zh-CN"/>
              </w:rPr>
              <w:t xml:space="preserve"> </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rPr>
                <w:rFonts w:hint="eastAsia" w:eastAsia="宋体"/>
                <w:lang w:eastAsia="zh-CN"/>
              </w:rPr>
            </w:pPr>
            <w:r>
              <w:rPr>
                <w:rFonts w:hint="eastAsia"/>
              </w:rPr>
              <w:t>□人员培训</w:t>
            </w:r>
            <w:r>
              <w:rPr>
                <w:rFonts w:hint="eastAsia"/>
                <w:lang w:eastAsia="zh-CN"/>
              </w:rPr>
              <w:t>■</w:t>
            </w:r>
            <w:r>
              <w:rPr>
                <w:rFonts w:hint="eastAsia"/>
              </w:rPr>
              <w:t>其他</w:t>
            </w:r>
            <w:r>
              <w:rPr>
                <w:rFonts w:hint="eastAsia"/>
                <w:lang w:eastAsia="zh-CN"/>
              </w:rPr>
              <w:t>：</w:t>
            </w:r>
            <w:r>
              <w:rPr>
                <w:rFonts w:hint="eastAsia" w:ascii="宋体" w:hAnsi="宋体"/>
                <w:color w:val="auto"/>
                <w:szCs w:val="22"/>
              </w:rPr>
              <w:t>绿化、电梯维保、消防维保</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szCs w:val="21"/>
                <w:u w:val="single"/>
              </w:rPr>
              <w:t>树立品质意识、创造精益管理、合法经营、预防为主、持续改进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napToGrid w:val="0"/>
              <w:spacing w:line="320" w:lineRule="exact"/>
            </w:pPr>
            <w:r>
              <w:rPr>
                <w:rFonts w:hint="eastAsia"/>
              </w:rPr>
              <w:t>QMS的主管部门是——</w:t>
            </w:r>
            <w:r>
              <w:rPr>
                <w:rFonts w:hint="eastAsia" w:ascii="宋体" w:hAnsi="宋体" w:cs="新宋体"/>
                <w:sz w:val="21"/>
                <w:szCs w:val="21"/>
              </w:rPr>
              <w:t>人行部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400" w:lineRule="exact"/>
                    <w:rPr>
                      <w:rFonts w:hint="eastAsia" w:ascii="Times New Roman" w:hAnsi="Times New Roman" w:eastAsia="宋体" w:cs="Times New Roman"/>
                      <w:kern w:val="2"/>
                      <w:sz w:val="22"/>
                      <w:szCs w:val="22"/>
                      <w:lang w:val="en-US" w:eastAsia="zh-CN" w:bidi="ar-SA"/>
                    </w:rPr>
                  </w:pPr>
                  <w:r>
                    <w:rPr>
                      <w:rFonts w:hint="eastAsia" w:ascii="Arial" w:hAnsi="宋体" w:cs="Arial"/>
                    </w:rPr>
                    <w:t>酒店服务顾客满意率：90%</w:t>
                  </w:r>
                </w:p>
              </w:tc>
              <w:tc>
                <w:tcPr>
                  <w:tcW w:w="3136"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GB" w:eastAsia="zh-CN" w:bidi="ar-SA"/>
                    </w:rPr>
                  </w:pPr>
                  <w:r>
                    <w:rPr>
                      <w:rFonts w:hint="eastAsia" w:ascii="Times New Roman" w:hAnsi="Times New Roman" w:eastAsia="宋体" w:cs="Times New Roman"/>
                      <w:color w:val="000000"/>
                      <w:szCs w:val="18"/>
                      <w:highlight w:val="none"/>
                      <w:lang w:eastAsia="zh-CN"/>
                    </w:rPr>
                    <w:t>顾客满意</w:t>
                  </w:r>
                  <w:r>
                    <w:rPr>
                      <w:rFonts w:hint="eastAsia" w:ascii="Times New Roman" w:hAnsi="Times New Roman" w:eastAsia="宋体" w:cs="Times New Roman"/>
                      <w:color w:val="000000"/>
                      <w:szCs w:val="18"/>
                      <w:highlight w:val="none"/>
                      <w:lang w:val="en-US" w:eastAsia="zh-CN"/>
                    </w:rPr>
                    <w:t>率</w:t>
                  </w:r>
                  <w:r>
                    <w:rPr>
                      <w:rFonts w:hint="eastAsia" w:ascii="Times New Roman" w:hAnsi="Times New Roman" w:eastAsia="宋体" w:cs="Times New Roman"/>
                      <w:color w:val="000000"/>
                      <w:szCs w:val="18"/>
                      <w:highlight w:val="none"/>
                      <w:lang w:eastAsia="zh-CN"/>
                    </w:rPr>
                    <w:t>=∑n1+n2+n3+……+ni/n×100%</w:t>
                  </w:r>
                </w:p>
              </w:tc>
              <w:tc>
                <w:tcPr>
                  <w:tcW w:w="1350" w:type="dxa"/>
                  <w:shd w:val="clear" w:color="auto" w:fill="auto"/>
                  <w:vAlign w:val="center"/>
                </w:tcPr>
                <w:p>
                  <w:pPr>
                    <w:snapToGrid w:val="0"/>
                    <w:spacing w:line="320" w:lineRule="exact"/>
                    <w:rPr>
                      <w:rFonts w:ascii="宋体" w:hAnsi="宋体"/>
                      <w:sz w:val="21"/>
                      <w:szCs w:val="21"/>
                    </w:rPr>
                  </w:pPr>
                  <w:r>
                    <w:rPr>
                      <w:rFonts w:hint="eastAsia" w:ascii="宋体" w:hAnsi="宋体"/>
                      <w:sz w:val="21"/>
                      <w:szCs w:val="21"/>
                    </w:rPr>
                    <w:t>房务部</w:t>
                  </w:r>
                </w:p>
                <w:p>
                  <w:pPr>
                    <w:shd w:val="clear" w:color="auto" w:fill="C7DAF1" w:themeFill="text2" w:themeFillTint="32"/>
                    <w:rPr>
                      <w:rFonts w:hint="default" w:ascii="Times New Roman" w:hAnsi="Times New Roman" w:eastAsia="宋体" w:cs="Times New Roman"/>
                      <w:kern w:val="2"/>
                      <w:sz w:val="21"/>
                      <w:szCs w:val="24"/>
                      <w:highlight w:val="none"/>
                      <w:lang w:val="en-GB" w:eastAsia="zh-CN" w:bidi="ar-SA"/>
                    </w:rPr>
                  </w:pP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GB" w:eastAsia="zh-CN" w:bidi="ar-SA"/>
                    </w:rPr>
                  </w:pPr>
                  <w:r>
                    <w:rPr>
                      <w:rFonts w:hint="eastAsia" w:ascii="宋体" w:hAnsi="宋体"/>
                      <w:kern w:val="0"/>
                      <w:sz w:val="22"/>
                      <w:szCs w:val="22"/>
                      <w:highlight w:val="none"/>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400" w:lineRule="exact"/>
                    <w:rPr>
                      <w:rFonts w:hint="eastAsia" w:ascii="Times New Roman" w:hAnsi="Times New Roman" w:eastAsia="宋体" w:cs="Times New Roman"/>
                      <w:kern w:val="2"/>
                      <w:sz w:val="22"/>
                      <w:szCs w:val="22"/>
                      <w:lang w:val="en-US" w:eastAsia="zh-CN" w:bidi="ar-SA"/>
                    </w:rPr>
                  </w:pPr>
                  <w:r>
                    <w:rPr>
                      <w:rFonts w:hint="eastAsia" w:ascii="Arial" w:hAnsi="宋体" w:cs="Arial"/>
                    </w:rPr>
                    <w:t>餐饮服务顾客满意率：95%</w:t>
                  </w:r>
                </w:p>
              </w:tc>
              <w:tc>
                <w:tcPr>
                  <w:tcW w:w="313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顾客满意</w:t>
                  </w:r>
                  <w:r>
                    <w:rPr>
                      <w:rFonts w:hint="eastAsia" w:ascii="Times New Roman" w:hAnsi="Times New Roman" w:eastAsia="宋体" w:cs="Times New Roman"/>
                      <w:color w:val="000000"/>
                      <w:szCs w:val="18"/>
                      <w:highlight w:val="none"/>
                      <w:lang w:val="en-US" w:eastAsia="zh-CN"/>
                    </w:rPr>
                    <w:t>率</w:t>
                  </w:r>
                  <w:r>
                    <w:rPr>
                      <w:rFonts w:hint="eastAsia" w:ascii="Times New Roman" w:hAnsi="Times New Roman" w:eastAsia="宋体" w:cs="Times New Roman"/>
                      <w:color w:val="000000"/>
                      <w:szCs w:val="18"/>
                      <w:highlight w:val="none"/>
                      <w:lang w:eastAsia="zh-CN"/>
                    </w:rPr>
                    <w:t>=∑n1+n2+n3+……+ni/n×100%</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highlight w:val="none"/>
                      <w:lang w:val="en-US" w:eastAsia="zh-CN" w:bidi="ar-SA"/>
                    </w:rPr>
                  </w:pPr>
                  <w:r>
                    <w:rPr>
                      <w:rFonts w:hint="eastAsia" w:ascii="宋体" w:hAnsi="宋体" w:cs="新宋体"/>
                      <w:sz w:val="21"/>
                      <w:szCs w:val="21"/>
                    </w:rPr>
                    <w:t>餐饮部</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400" w:lineRule="exact"/>
                    <w:rPr>
                      <w:rFonts w:hint="eastAsia" w:ascii="Times New Roman" w:hAnsi="Times New Roman" w:eastAsia="宋体" w:cs="Times New Roman"/>
                      <w:kern w:val="2"/>
                      <w:sz w:val="22"/>
                      <w:szCs w:val="22"/>
                      <w:lang w:val="en-US" w:eastAsia="zh-CN" w:bidi="ar-SA"/>
                    </w:rPr>
                  </w:pPr>
                  <w:r>
                    <w:rPr>
                      <w:rFonts w:hint="eastAsia" w:ascii="Arial" w:hAnsi="宋体" w:cs="Arial"/>
                    </w:rPr>
                    <w:t>物业服务顾客满意率：90%</w:t>
                  </w:r>
                </w:p>
              </w:tc>
              <w:tc>
                <w:tcPr>
                  <w:tcW w:w="313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顾客满意</w:t>
                  </w:r>
                  <w:r>
                    <w:rPr>
                      <w:rFonts w:hint="eastAsia" w:ascii="Times New Roman" w:hAnsi="Times New Roman" w:eastAsia="宋体" w:cs="Times New Roman"/>
                      <w:color w:val="000000"/>
                      <w:szCs w:val="18"/>
                      <w:highlight w:val="none"/>
                      <w:lang w:val="en-US" w:eastAsia="zh-CN"/>
                    </w:rPr>
                    <w:t>率</w:t>
                  </w:r>
                  <w:r>
                    <w:rPr>
                      <w:rFonts w:hint="eastAsia" w:ascii="Times New Roman" w:hAnsi="Times New Roman" w:eastAsia="宋体" w:cs="Times New Roman"/>
                      <w:color w:val="000000"/>
                      <w:szCs w:val="18"/>
                      <w:highlight w:val="none"/>
                      <w:lang w:eastAsia="zh-CN"/>
                    </w:rPr>
                    <w:t>=∑n1+n2+n3+……+ni/n×100%</w:t>
                  </w:r>
                </w:p>
              </w:tc>
              <w:tc>
                <w:tcPr>
                  <w:tcW w:w="1350" w:type="dxa"/>
                  <w:shd w:val="clear" w:color="auto" w:fill="auto"/>
                  <w:vAlign w:val="center"/>
                </w:tcPr>
                <w:p>
                  <w:pPr>
                    <w:snapToGrid w:val="0"/>
                    <w:spacing w:line="320" w:lineRule="exact"/>
                    <w:rPr>
                      <w:rFonts w:hint="eastAsia" w:ascii="宋体" w:hAnsi="宋体" w:cs="新宋体"/>
                      <w:sz w:val="21"/>
                      <w:szCs w:val="21"/>
                    </w:rPr>
                  </w:pPr>
                  <w:r>
                    <w:rPr>
                      <w:rFonts w:hint="eastAsia" w:ascii="宋体" w:hAnsi="宋体" w:cs="新宋体"/>
                      <w:sz w:val="21"/>
                      <w:szCs w:val="21"/>
                    </w:rPr>
                    <w:t>物业管理部</w:t>
                  </w:r>
                </w:p>
                <w:p>
                  <w:pPr>
                    <w:shd w:val="clear" w:color="auto" w:fill="C7DAF1" w:themeFill="text2" w:themeFillTint="32"/>
                    <w:rPr>
                      <w:rFonts w:hint="default" w:ascii="宋体" w:hAnsi="宋体" w:eastAsia="宋体" w:cs="Times New Roman"/>
                      <w:kern w:val="2"/>
                      <w:sz w:val="21"/>
                      <w:szCs w:val="24"/>
                      <w:highlight w:val="none"/>
                      <w:lang w:val="en-US" w:eastAsia="zh-CN" w:bidi="ar-SA"/>
                    </w:rPr>
                  </w:pP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highlight w:val="none"/>
              </w:rPr>
            </w:pPr>
            <w:r>
              <w:rPr>
                <w:rFonts w:hint="eastAsia"/>
                <w:lang w:val="en-US" w:eastAsia="zh-CN"/>
              </w:rPr>
              <w:t>办</w:t>
            </w:r>
            <w:r>
              <w:rPr>
                <w:rFonts w:hint="eastAsia"/>
                <w:highlight w:val="none"/>
                <w:lang w:val="en-US" w:eastAsia="zh-CN"/>
              </w:rPr>
              <w:t>公</w:t>
            </w:r>
            <w:r>
              <w:rPr>
                <w:rFonts w:hint="eastAsia"/>
                <w:highlight w:val="none"/>
              </w:rPr>
              <w:t>面积</w:t>
            </w:r>
            <w:r>
              <w:rPr>
                <w:rFonts w:hint="eastAsia"/>
                <w:highlight w:val="none"/>
                <w:u w:val="single"/>
                <w:lang w:val="en-US" w:eastAsia="zh-CN"/>
              </w:rPr>
              <w:t>225</w:t>
            </w:r>
            <w:r>
              <w:rPr>
                <w:rFonts w:hint="eastAsia"/>
                <w:highlight w:val="none"/>
              </w:rPr>
              <w:t>平方米；</w:t>
            </w:r>
            <w:r>
              <w:rPr>
                <w:rFonts w:hint="eastAsia"/>
                <w:highlight w:val="none"/>
                <w:lang w:val="en-US" w:eastAsia="zh-CN"/>
              </w:rPr>
              <w:t>布草间11个；餐饮库房6个；</w:t>
            </w:r>
            <w:r>
              <w:rPr>
                <w:rFonts w:hint="eastAsia"/>
                <w:highlight w:val="none"/>
              </w:rPr>
              <w:t>实验室个；</w:t>
            </w:r>
          </w:p>
          <w:p>
            <w:pPr>
              <w:shd w:val="clear" w:color="auto" w:fill="C7DAF1" w:themeFill="text2" w:themeFillTint="32"/>
              <w:rPr>
                <w:rFonts w:hint="eastAsia"/>
              </w:rPr>
            </w:pPr>
            <w:r>
              <w:rPr>
                <w:rFonts w:hint="eastAsia"/>
              </w:rPr>
              <w:t>主要生产设备有：</w:t>
            </w:r>
            <w:r>
              <w:rPr>
                <w:rFonts w:hint="eastAsia"/>
                <w:u w:val="single"/>
              </w:rPr>
              <w:t>办公设备、冰箱、冰柜、消毒柜、烹饪器具、电磁炉、绞肉机、洗衣设备、电梯、锅炉、对讲机、巡更棒、手电等</w:t>
            </w:r>
            <w:r>
              <w:rPr>
                <w:rFonts w:hint="eastAsia"/>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1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rPr>
                <w:highlight w:val="none"/>
              </w:rPr>
            </w:pPr>
            <w:r>
              <w:rPr>
                <w:rFonts w:hint="eastAsia"/>
              </w:rPr>
              <w:t>计量器具的</w:t>
            </w:r>
            <w:r>
              <w:t>测量溯源</w:t>
            </w:r>
            <w:r>
              <w:rPr>
                <w:rFonts w:hint="eastAsia"/>
                <w:highlight w:val="none"/>
              </w:rPr>
              <w:t>方法：</w:t>
            </w:r>
            <w:r>
              <w:rPr>
                <w:rFonts w:hint="eastAsia" w:ascii="Wingdings" w:hAnsi="Wingdings"/>
                <w:highlight w:val="none"/>
                <w:lang w:eastAsia="zh-CN"/>
              </w:rPr>
              <w:t>□</w:t>
            </w:r>
            <w:r>
              <w:rPr>
                <w:rFonts w:hint="eastAsia"/>
                <w:highlight w:val="none"/>
              </w:rPr>
              <w:t>自校</w:t>
            </w:r>
            <w:r>
              <w:rPr>
                <w:rFonts w:hint="eastAsia" w:ascii="Wingdings" w:hAnsi="Wingdings"/>
                <w:highlight w:val="none"/>
                <w:lang w:eastAsia="zh-CN"/>
              </w:rPr>
              <w:t>■</w:t>
            </w:r>
            <w:r>
              <w:rPr>
                <w:rFonts w:hint="eastAsia"/>
                <w:highlight w:val="none"/>
              </w:rPr>
              <w:t>外校</w:t>
            </w:r>
          </w:p>
          <w:p>
            <w:pPr>
              <w:shd w:val="clear" w:color="auto" w:fill="C7DAF1" w:themeFill="text2" w:themeFillTint="32"/>
              <w:rPr>
                <w:highlight w:val="none"/>
                <w:u w:val="single"/>
              </w:rPr>
            </w:pPr>
            <w:r>
              <w:rPr>
                <w:rFonts w:hint="eastAsia"/>
                <w:highlight w:val="none"/>
              </w:rPr>
              <w:t>国家强检的计量器具有：</w:t>
            </w:r>
            <w:r>
              <w:rPr>
                <w:rFonts w:hint="eastAsia"/>
                <w:highlight w:val="none"/>
                <w:u w:val="single"/>
              </w:rPr>
              <w:t>万用表、电子称、温度计、温湿度计（列举1~4种）</w:t>
            </w:r>
          </w:p>
          <w:p>
            <w:pPr>
              <w:shd w:val="clear" w:color="auto" w:fill="C7DAF1" w:themeFill="text2" w:themeFillTint="32"/>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进行了定期校准/检定</w:t>
            </w:r>
            <w:r>
              <w:rPr>
                <w:rFonts w:hint="eastAsia" w:ascii="Wingdings" w:hAnsi="Wingdings"/>
                <w:highlight w:val="none"/>
                <w:lang w:eastAsia="zh-CN"/>
              </w:rPr>
              <w:t>□</w:t>
            </w:r>
            <w:r>
              <w:rPr>
                <w:rFonts w:hint="eastAsia"/>
                <w:highlight w:val="none"/>
              </w:rPr>
              <w:t>未进行定期校</w:t>
            </w:r>
            <w:r>
              <w:rPr>
                <w:rFonts w:hint="eastAsia"/>
              </w:rPr>
              <w:t>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rFonts w:ascii="Times New Roman" w:hAnsi="Times New Roman" w:eastAsia="宋体" w:cs="Times New Roman"/>
                <w:kern w:val="2"/>
                <w:sz w:val="21"/>
                <w:szCs w:val="24"/>
                <w:highlight w:val="yellow"/>
                <w:lang w:val="en-US" w:eastAsia="zh-CN" w:bidi="ar-SA"/>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rPr>
            </w:pPr>
            <w:r>
              <w:rPr>
                <w:rFonts w:hint="eastAsia"/>
              </w:rPr>
              <w:t>审核期间内设计和开发新产品/项目名称：</w:t>
            </w:r>
            <w:r>
              <w:rPr>
                <w:rFonts w:hint="eastAsia"/>
                <w:u w:val="single"/>
                <w:lang w:val="en-US" w:eastAsia="zh-CN"/>
              </w:rPr>
              <w:t xml:space="preserve">     </w:t>
            </w:r>
            <w:r>
              <w:rPr>
                <w:rFonts w:hint="eastAsia"/>
                <w:u w:val="single"/>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color w:val="000000" w:themeColor="text1"/>
                <w14:textFill>
                  <w14:solidFill>
                    <w14:schemeClr w14:val="tx1"/>
                  </w14:solidFill>
                </w14:textFill>
              </w:rPr>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r>
              <w:rPr>
                <w:rFonts w:hint="eastAsia"/>
                <w:lang w:eastAsia="zh-CN"/>
              </w:rPr>
              <w:t>：</w:t>
            </w:r>
            <w:r>
              <w:rPr>
                <w:rFonts w:hint="eastAsia" w:ascii="宋体" w:hAnsi="宋体"/>
                <w:color w:val="000000" w:themeColor="text1"/>
                <w:szCs w:val="22"/>
                <w14:textFill>
                  <w14:solidFill>
                    <w14:schemeClr w14:val="tx1"/>
                  </w14:solidFill>
                </w14:textFill>
              </w:rPr>
              <w:t>绿化、电梯维保、消防维保</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1"/>
              <w:gridCol w:w="3316"/>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1" w:type="dxa"/>
                </w:tcPr>
                <w:p>
                  <w:pPr>
                    <w:shd w:val="clear" w:color="auto" w:fill="C7DAF1" w:themeFill="text2" w:themeFillTint="32"/>
                    <w:jc w:val="left"/>
                  </w:pPr>
                  <w:r>
                    <w:rPr>
                      <w:rFonts w:hint="eastAsia"/>
                    </w:rPr>
                    <w:t>产品/服务名称</w:t>
                  </w:r>
                </w:p>
              </w:tc>
              <w:tc>
                <w:tcPr>
                  <w:tcW w:w="3316"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1" w:type="dxa"/>
                </w:tcPr>
                <w:p>
                  <w:pPr>
                    <w:shd w:val="clear" w:color="auto" w:fill="C7DAF1" w:themeFill="text2" w:themeFillTint="32"/>
                    <w:jc w:val="left"/>
                  </w:pPr>
                  <w:r>
                    <w:rPr>
                      <w:sz w:val="20"/>
                    </w:rPr>
                    <w:t>许可范围内的酒店经营管理（住宿、餐饮），物业管理</w:t>
                  </w:r>
                </w:p>
              </w:tc>
              <w:tc>
                <w:tcPr>
                  <w:tcW w:w="3316" w:type="dxa"/>
                </w:tcPr>
                <w:p>
                  <w:pPr>
                    <w:shd w:val="clear" w:color="auto" w:fill="C7DAF1" w:themeFill="text2" w:themeFillTint="32"/>
                    <w:jc w:val="left"/>
                  </w:pPr>
                  <w:r>
                    <w:rPr>
                      <w:rFonts w:hint="eastAsia" w:ascii="宋体" w:hAnsi="宋体"/>
                      <w:szCs w:val="21"/>
                    </w:rPr>
                    <w:t>住宿服务过程、餐饮服务过程、物业服务过程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服务质量、菜品质量、清洁卫生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1" w:type="dxa"/>
                </w:tcPr>
                <w:p>
                  <w:pPr>
                    <w:shd w:val="clear" w:color="auto" w:fill="C7DAF1" w:themeFill="text2" w:themeFillTint="32"/>
                    <w:jc w:val="left"/>
                  </w:pPr>
                </w:p>
              </w:tc>
              <w:tc>
                <w:tcPr>
                  <w:tcW w:w="3316"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1" w:type="dxa"/>
                </w:tcPr>
                <w:p>
                  <w:pPr>
                    <w:shd w:val="clear" w:color="auto" w:fill="C7DAF1" w:themeFill="text2" w:themeFillTint="32"/>
                    <w:jc w:val="left"/>
                  </w:pPr>
                </w:p>
              </w:tc>
              <w:tc>
                <w:tcPr>
                  <w:tcW w:w="3316"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服务过程</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sym w:font="Wingdings 2" w:char="00A3"/>
            </w:r>
            <w:r>
              <w:rPr>
                <w:rFonts w:hint="eastAsia"/>
              </w:rPr>
              <w:t>其他</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w:t>
            </w:r>
            <w:r>
              <w:rPr>
                <w:rFonts w:hint="eastAsia"/>
                <w:highlight w:val="none"/>
              </w:rPr>
              <w:t>划于</w:t>
            </w:r>
            <w:r>
              <w:rPr>
                <w:rFonts w:hint="eastAsia" w:ascii="Times New Roman" w:hAnsi="Times New Roman" w:eastAsia="宋体" w:cs="Times New Roman"/>
                <w:color w:val="000000"/>
                <w:szCs w:val="18"/>
                <w:u w:val="single"/>
                <w:lang w:val="en-US" w:eastAsia="zh-CN"/>
              </w:rPr>
              <w:t>2021年7月11日至7月12日</w:t>
            </w:r>
            <w:r>
              <w:rPr>
                <w:rFonts w:hint="eastAsia"/>
                <w:highlight w:val="none"/>
              </w:rPr>
              <w:t xml:space="preserve">实施了质量管理体系内部审核，对质量管理体系的符合性和有效性进行了审核。内审发现的 </w:t>
            </w:r>
            <w:r>
              <w:rPr>
                <w:rFonts w:hint="eastAsia"/>
                <w:highlight w:val="none"/>
                <w:u w:val="single"/>
                <w:lang w:val="en-US" w:eastAsia="zh-CN"/>
              </w:rPr>
              <w:t>1</w:t>
            </w:r>
            <w:r>
              <w:rPr>
                <w:rFonts w:hint="eastAsia"/>
                <w:highlight w:val="none"/>
                <w:u w:val="single"/>
              </w:rPr>
              <w:t xml:space="preserve"> </w:t>
            </w:r>
            <w:r>
              <w:rPr>
                <w:rFonts w:hint="eastAsia"/>
                <w:highlight w:val="none"/>
                <w:lang w:val="en-US" w:eastAsia="zh-CN"/>
              </w:rPr>
              <w:t>项</w:t>
            </w:r>
            <w:r>
              <w:rPr>
                <w:rFonts w:hint="eastAsia"/>
                <w:highlight w:val="none"/>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最高管理者已按策划的时间间隔，在</w:t>
            </w:r>
            <w:r>
              <w:rPr>
                <w:rFonts w:hint="eastAsia"/>
                <w:color w:val="000000"/>
                <w:szCs w:val="18"/>
                <w:u w:val="single"/>
                <w:lang w:val="en-US" w:eastAsia="zh-CN"/>
              </w:rPr>
              <w:t>2021</w:t>
            </w:r>
            <w:r>
              <w:rPr>
                <w:rFonts w:hint="eastAsia"/>
                <w:color w:val="000000"/>
                <w:szCs w:val="18"/>
              </w:rPr>
              <w:t>年</w:t>
            </w:r>
            <w:r>
              <w:rPr>
                <w:rFonts w:hint="eastAsia"/>
                <w:color w:val="000000"/>
                <w:szCs w:val="18"/>
                <w:u w:val="single"/>
                <w:lang w:val="en-US" w:eastAsia="zh-CN"/>
              </w:rPr>
              <w:t>7</w:t>
            </w:r>
            <w:r>
              <w:rPr>
                <w:color w:val="000000"/>
                <w:szCs w:val="18"/>
                <w:u w:val="single"/>
              </w:rPr>
              <w:t xml:space="preserve"> </w:t>
            </w:r>
            <w:r>
              <w:rPr>
                <w:rFonts w:hint="eastAsia"/>
                <w:color w:val="000000"/>
                <w:szCs w:val="18"/>
              </w:rPr>
              <w:t>月</w:t>
            </w:r>
            <w:r>
              <w:rPr>
                <w:rFonts w:hint="eastAsia"/>
                <w:color w:val="000000"/>
                <w:szCs w:val="18"/>
                <w:u w:val="single"/>
                <w:lang w:val="en-US" w:eastAsia="zh-CN"/>
              </w:rPr>
              <w:t>30</w:t>
            </w:r>
            <w:r>
              <w:rPr>
                <w:color w:val="000000"/>
                <w:szCs w:val="18"/>
                <w:u w:val="single"/>
              </w:rPr>
              <w:t xml:space="preserve"> </w:t>
            </w:r>
            <w:r>
              <w:rPr>
                <w:rFonts w:hint="eastAsia"/>
                <w:color w:val="000000"/>
                <w:szCs w:val="18"/>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w:t>
            </w:r>
            <w:r>
              <w:rPr>
                <w:rFonts w:hint="eastAsia"/>
                <w:lang w:eastAsia="zh-CN"/>
              </w:rPr>
              <w:t>■</w:t>
            </w:r>
            <w:r>
              <w:rPr>
                <w:rFonts w:hint="eastAsia"/>
              </w:rPr>
              <w:t xml:space="preserve">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rPr>
                <w:rFonts w:hint="eastAsia" w:eastAsia="宋体"/>
                <w:lang w:eastAsia="zh-CN"/>
              </w:rPr>
            </w:pPr>
            <w:r>
              <w:rPr>
                <w:rFonts w:hint="eastAsia"/>
              </w:rPr>
              <w:t xml:space="preserve">□人员培训 </w:t>
            </w:r>
            <w:r>
              <w:rPr>
                <w:rFonts w:hint="eastAsia"/>
                <w:lang w:eastAsia="zh-CN"/>
              </w:rPr>
              <w:t>■</w:t>
            </w:r>
            <w:r>
              <w:rPr>
                <w:rFonts w:hint="eastAsia"/>
              </w:rPr>
              <w:t>其他</w:t>
            </w:r>
            <w:r>
              <w:rPr>
                <w:rFonts w:hint="eastAsia"/>
                <w:lang w:eastAsia="zh-CN"/>
              </w:rPr>
              <w:t>：</w:t>
            </w:r>
            <w:r>
              <w:rPr>
                <w:rFonts w:hint="eastAsia" w:ascii="宋体" w:hAnsi="宋体"/>
                <w:color w:val="000000" w:themeColor="text1"/>
                <w:szCs w:val="22"/>
                <w14:textFill>
                  <w14:solidFill>
                    <w14:schemeClr w14:val="tx1"/>
                  </w14:solidFill>
                </w14:textFill>
              </w:rPr>
              <w:t>绿化、电梯维保、消防维保</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u w:val="single"/>
              </w:rPr>
            </w:pPr>
            <w:r>
              <w:rPr>
                <w:rFonts w:hint="eastAsia"/>
              </w:rPr>
              <w:t>最高管</w:t>
            </w:r>
            <w:r>
              <w:rPr>
                <w:rFonts w:hint="eastAsia"/>
                <w:lang w:val="en-GB"/>
              </w:rPr>
              <w:t>理者制定了文件化的管理体系方针：</w:t>
            </w:r>
            <w:r>
              <w:rPr>
                <w:rFonts w:hint="eastAsia"/>
                <w:u w:val="single"/>
                <w:lang w:val="en-GB"/>
              </w:rPr>
              <w:t>树立品质意识、创造精益管理、合法经营、预防为主、持续改进</w:t>
            </w:r>
            <w:r>
              <w:rPr>
                <w:rFonts w:hint="eastAsia"/>
                <w:u w:val="single"/>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人行部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4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pPr>
                  <w:r>
                    <w:rPr>
                      <w:rFonts w:hint="eastAsia"/>
                    </w:rPr>
                    <w:t>主要的风险或机遇描述</w:t>
                  </w:r>
                </w:p>
              </w:tc>
              <w:tc>
                <w:tcPr>
                  <w:tcW w:w="4438"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pPr>
                  <w:r>
                    <w:rPr>
                      <w:rFonts w:hint="eastAsia" w:asciiTheme="minorEastAsia" w:hAnsiTheme="minorEastAsia" w:eastAsiaTheme="minorEastAsia"/>
                      <w:b w:val="0"/>
                      <w:bCs w:val="0"/>
                      <w:sz w:val="21"/>
                      <w:szCs w:val="21"/>
                      <w:lang w:val="en-US" w:eastAsia="zh-CN"/>
                    </w:rPr>
                    <w:t>潜在</w:t>
                  </w:r>
                  <w:r>
                    <w:rPr>
                      <w:rFonts w:hint="eastAsia" w:asciiTheme="minorEastAsia" w:hAnsiTheme="minorEastAsia" w:eastAsiaTheme="minorEastAsia"/>
                      <w:b w:val="0"/>
                      <w:bCs w:val="0"/>
                      <w:sz w:val="21"/>
                      <w:szCs w:val="21"/>
                    </w:rPr>
                    <w:t>火灾</w:t>
                  </w:r>
                </w:p>
              </w:tc>
              <w:tc>
                <w:tcPr>
                  <w:tcW w:w="4438" w:type="dxa"/>
                </w:tcPr>
                <w:p>
                  <w:pPr>
                    <w:shd w:val="clear" w:color="auto" w:fill="EBF1DE" w:themeFill="accent3" w:themeFillTint="32"/>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hint="default" w:eastAsia="宋体"/>
                      <w:lang w:val="en-US" w:eastAsia="zh-CN"/>
                    </w:rPr>
                  </w:pPr>
                  <w:r>
                    <w:rPr>
                      <w:rFonts w:hint="default" w:eastAsia="宋体"/>
                      <w:lang w:val="en-US" w:eastAsia="zh-CN"/>
                    </w:rPr>
                    <w:t>固废、废油渣排放</w:t>
                  </w:r>
                </w:p>
              </w:tc>
              <w:tc>
                <w:tcPr>
                  <w:tcW w:w="4438" w:type="dxa"/>
                </w:tcPr>
                <w:p>
                  <w:pPr>
                    <w:shd w:val="clear" w:color="auto" w:fill="EBF1DE" w:themeFill="accent3" w:themeFillTint="32"/>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hint="default" w:eastAsia="宋体"/>
                      <w:lang w:val="en-US" w:eastAsia="zh-CN"/>
                    </w:rPr>
                  </w:pPr>
                  <w:r>
                    <w:rPr>
                      <w:rFonts w:hint="default" w:eastAsia="宋体"/>
                      <w:lang w:val="en-US" w:eastAsia="zh-CN"/>
                    </w:rPr>
                    <w:t>油烟的排放</w:t>
                  </w:r>
                </w:p>
              </w:tc>
              <w:tc>
                <w:tcPr>
                  <w:tcW w:w="4438"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hint="default" w:eastAsia="宋体"/>
                      <w:lang w:val="en-US" w:eastAsia="zh-CN"/>
                    </w:rPr>
                  </w:pPr>
                  <w:r>
                    <w:rPr>
                      <w:rFonts w:hint="default" w:eastAsia="宋体"/>
                      <w:lang w:val="en-US" w:eastAsia="zh-CN"/>
                    </w:rPr>
                    <w:t>噪声的排放</w:t>
                  </w:r>
                </w:p>
              </w:tc>
              <w:tc>
                <w:tcPr>
                  <w:tcW w:w="4438"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hint="default" w:eastAsia="宋体"/>
                      <w:lang w:val="en-US" w:eastAsia="zh-CN"/>
                    </w:rPr>
                  </w:pPr>
                  <w:r>
                    <w:rPr>
                      <w:rFonts w:hint="default" w:eastAsia="宋体"/>
                      <w:lang w:val="en-US" w:eastAsia="zh-CN"/>
                    </w:rPr>
                    <w:t>废水的排放</w:t>
                  </w:r>
                </w:p>
              </w:tc>
              <w:tc>
                <w:tcPr>
                  <w:tcW w:w="4438"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pPr>
                </w:p>
              </w:tc>
              <w:tc>
                <w:tcPr>
                  <w:tcW w:w="4438"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□资源消耗 </w:t>
            </w:r>
            <w:r>
              <w:rPr>
                <w:rFonts w:hint="eastAsia"/>
                <w:lang w:eastAsia="zh-CN"/>
              </w:rPr>
              <w:t>■</w:t>
            </w:r>
            <w:r>
              <w:rPr>
                <w:rFonts w:hint="eastAsia"/>
              </w:rPr>
              <w:t xml:space="preserve">废水排放  □废气排放 □粉尘排放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default" w:eastAsia="宋体"/>
                <w:lang w:val="en-US" w:eastAsia="zh-CN"/>
              </w:rPr>
              <w:t>固废、废油渣排放</w:t>
            </w:r>
            <w:r>
              <w:rPr>
                <w:rFonts w:hint="eastAsia"/>
                <w:lang w:val="en-US" w:eastAsia="zh-CN"/>
              </w:rPr>
              <w:t>、</w:t>
            </w:r>
            <w:r>
              <w:rPr>
                <w:rFonts w:hint="default" w:eastAsia="宋体"/>
                <w:lang w:val="en-US" w:eastAsia="zh-CN"/>
              </w:rPr>
              <w:t>油烟的排放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lang w:eastAsia="zh-CN"/>
              </w:rPr>
              <w:t>■</w:t>
            </w:r>
            <w:r>
              <w:rPr>
                <w:rFonts w:hint="eastAsia"/>
              </w:rPr>
              <w:t>消防验收/备案证明日期：</w:t>
            </w:r>
            <w:r>
              <w:rPr>
                <w:rFonts w:hint="eastAsia"/>
                <w:u w:val="single"/>
              </w:rPr>
              <w:t xml:space="preserve">   </w:t>
            </w:r>
            <w:r>
              <w:rPr>
                <w:rFonts w:hint="eastAsia"/>
                <w:u w:val="single"/>
                <w:lang w:val="en-US" w:eastAsia="zh-CN"/>
              </w:rPr>
              <w:t>2012-9-14</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w:t>
            </w:r>
            <w:r>
              <w:rPr>
                <w:rFonts w:hint="eastAsia"/>
                <w:lang w:eastAsia="zh-CN"/>
              </w:rPr>
              <w:t>■</w:t>
            </w:r>
            <w:r>
              <w:rPr>
                <w:rFonts w:hint="default" w:eastAsia="宋体"/>
                <w:lang w:val="en-US" w:eastAsia="zh-CN"/>
              </w:rPr>
              <w:t>油烟</w:t>
            </w:r>
            <w:r>
              <w:rPr>
                <w:rFonts w:hint="eastAsia"/>
                <w:lang w:val="en-US" w:eastAsia="zh-CN"/>
              </w:rPr>
              <w:t>处理</w:t>
            </w:r>
            <w:r>
              <w:rPr>
                <w:rFonts w:hint="eastAsia"/>
              </w:rPr>
              <w:t xml:space="preserve">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400" w:lineRule="exact"/>
                    <w:rPr>
                      <w:rFonts w:hint="eastAsia" w:ascii="Times New Roman" w:hAnsi="Times New Roman" w:eastAsia="宋体" w:cs="Times New Roman"/>
                      <w:kern w:val="2"/>
                      <w:sz w:val="22"/>
                      <w:szCs w:val="22"/>
                      <w:lang w:val="en-US" w:eastAsia="zh-CN" w:bidi="ar-SA"/>
                    </w:rPr>
                  </w:pPr>
                  <w:r>
                    <w:rPr>
                      <w:rFonts w:hint="eastAsia" w:ascii="宋体" w:hAnsi="宋体" w:cs="宋体"/>
                      <w:kern w:val="0"/>
                      <w:position w:val="-1"/>
                      <w:sz w:val="22"/>
                      <w:szCs w:val="22"/>
                    </w:rPr>
                    <w:t>固体废弃物分类收集，处理率100%</w:t>
                  </w:r>
                </w:p>
              </w:tc>
              <w:tc>
                <w:tcPr>
                  <w:tcW w:w="3136"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人行部</w:t>
                  </w:r>
                </w:p>
              </w:tc>
              <w:tc>
                <w:tcPr>
                  <w:tcW w:w="1774" w:type="dxa"/>
                  <w:shd w:val="clear" w:color="auto" w:fill="auto"/>
                  <w:vAlign w:val="center"/>
                </w:tcPr>
                <w:p>
                  <w:pPr>
                    <w:shd w:val="clear" w:color="auto" w:fill="EBF1DE" w:themeFill="accent3" w:themeFillTint="32"/>
                    <w:jc w:val="both"/>
                    <w:rPr>
                      <w:rFonts w:hint="default" w:ascii="宋体" w:hAnsi="宋体" w:eastAsia="宋体"/>
                      <w:highlight w:val="none"/>
                      <w:lang w:val="en-US" w:eastAsia="zh-CN"/>
                    </w:rPr>
                  </w:pPr>
                  <w:r>
                    <w:rPr>
                      <w:rFonts w:hint="eastAsia" w:ascii="宋体" w:hAnsi="宋体"/>
                      <w:highlight w:val="none"/>
                      <w:lang w:val="en-US" w:eastAsia="zh-CN"/>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400" w:lineRule="exact"/>
                    <w:rPr>
                      <w:rFonts w:hint="eastAsia" w:ascii="Times New Roman" w:hAnsi="Times New Roman" w:eastAsia="宋体" w:cs="Times New Roman"/>
                      <w:kern w:val="2"/>
                      <w:sz w:val="22"/>
                      <w:szCs w:val="22"/>
                      <w:lang w:val="en-US" w:eastAsia="zh-CN" w:bidi="ar-SA"/>
                    </w:rPr>
                  </w:pPr>
                  <w:r>
                    <w:rPr>
                      <w:rFonts w:hint="eastAsia" w:ascii="宋体" w:hAnsi="宋体"/>
                      <w:sz w:val="22"/>
                      <w:szCs w:val="22"/>
                    </w:rPr>
                    <w:t>火灾事故为0</w:t>
                  </w:r>
                </w:p>
              </w:tc>
              <w:tc>
                <w:tcPr>
                  <w:tcW w:w="3136"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人行部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highlight w:val="yellow"/>
                      <w:lang w:val="en-US" w:eastAsia="zh-CN"/>
                    </w:rPr>
                  </w:pPr>
                </w:p>
              </w:tc>
              <w:tc>
                <w:tcPr>
                  <w:tcW w:w="3136" w:type="dxa"/>
                  <w:shd w:val="clear" w:color="auto" w:fill="auto"/>
                  <w:vAlign w:val="center"/>
                </w:tcPr>
                <w:p>
                  <w:pPr>
                    <w:shd w:val="clear" w:color="auto" w:fill="EBF1DE" w:themeFill="accent3" w:themeFillTint="32"/>
                    <w:rPr>
                      <w:rFonts w:ascii="宋体" w:hAnsi="宋体"/>
                      <w:highlight w:val="none"/>
                    </w:rPr>
                  </w:pPr>
                </w:p>
              </w:tc>
              <w:tc>
                <w:tcPr>
                  <w:tcW w:w="135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办公</w:t>
            </w:r>
            <w:r>
              <w:rPr>
                <w:rFonts w:hint="eastAsia" w:ascii="Times New Roman" w:hAnsi="Times New Roman" w:eastAsia="宋体" w:cs="Times New Roman"/>
              </w:rPr>
              <w:t>面积</w:t>
            </w:r>
            <w:r>
              <w:rPr>
                <w:rFonts w:hint="eastAsia" w:ascii="Times New Roman" w:hAnsi="Times New Roman" w:eastAsia="宋体" w:cs="Times New Roman"/>
                <w:u w:val="single"/>
                <w:lang w:val="en-US" w:eastAsia="zh-CN"/>
              </w:rPr>
              <w:t>225</w:t>
            </w:r>
            <w:r>
              <w:rPr>
                <w:rFonts w:hint="eastAsia" w:ascii="Times New Roman" w:hAnsi="Times New Roman" w:eastAsia="宋体" w:cs="Times New Roman"/>
                <w:u w:val="single"/>
              </w:rPr>
              <w:t>平</w:t>
            </w:r>
            <w:r>
              <w:rPr>
                <w:rFonts w:hint="eastAsia" w:ascii="Times New Roman" w:hAnsi="Times New Roman" w:eastAsia="宋体" w:cs="Times New Roman"/>
              </w:rPr>
              <w:t>方米；</w:t>
            </w:r>
            <w:r>
              <w:rPr>
                <w:rFonts w:hint="eastAsia" w:ascii="Times New Roman" w:hAnsi="Times New Roman" w:eastAsia="宋体" w:cs="Times New Roman"/>
                <w:lang w:val="en-US" w:eastAsia="zh-CN"/>
              </w:rPr>
              <w:t>布草间</w:t>
            </w:r>
            <w:r>
              <w:rPr>
                <w:rFonts w:hint="eastAsia" w:ascii="Times New Roman" w:hAnsi="Times New Roman" w:eastAsia="宋体" w:cs="Times New Roman"/>
                <w:u w:val="single"/>
                <w:lang w:val="en-US" w:eastAsia="zh-CN"/>
              </w:rPr>
              <w:t>11</w:t>
            </w:r>
            <w:r>
              <w:rPr>
                <w:rFonts w:hint="eastAsia" w:ascii="Times New Roman" w:hAnsi="Times New Roman" w:eastAsia="宋体" w:cs="Times New Roman"/>
                <w:lang w:val="en-US" w:eastAsia="zh-CN"/>
              </w:rPr>
              <w:t>个；餐饮库房</w:t>
            </w:r>
            <w:r>
              <w:rPr>
                <w:rFonts w:hint="eastAsia" w:ascii="Times New Roman" w:hAnsi="Times New Roman" w:eastAsia="宋体" w:cs="Times New Roman"/>
                <w:u w:val="single"/>
                <w:lang w:val="en-US" w:eastAsia="zh-CN"/>
              </w:rPr>
              <w:t>6</w:t>
            </w:r>
            <w:r>
              <w:rPr>
                <w:rFonts w:hint="eastAsia" w:ascii="Times New Roman" w:hAnsi="Times New Roman" w:eastAsia="宋体" w:cs="Times New Roman"/>
                <w:lang w:val="en-US" w:eastAsia="zh-CN"/>
              </w:rPr>
              <w:t>个；</w:t>
            </w:r>
            <w:r>
              <w:rPr>
                <w:rFonts w:hint="eastAsia" w:ascii="Times New Roman" w:hAnsi="Times New Roman" w:eastAsia="宋体" w:cs="Times New Roman"/>
              </w:rPr>
              <w:t>实验室个；</w:t>
            </w:r>
          </w:p>
          <w:p>
            <w:pPr>
              <w:shd w:val="clear" w:color="auto" w:fill="EBF1DE" w:themeFill="accent3" w:themeFillTint="32"/>
              <w:rPr>
                <w:rFonts w:hint="eastAsia" w:ascii="Times New Roman" w:hAnsi="Times New Roman" w:eastAsia="宋体" w:cs="Times New Roman"/>
                <w:lang w:eastAsia="zh-CN"/>
              </w:rPr>
            </w:pPr>
            <w:r>
              <w:rPr>
                <w:rFonts w:hint="eastAsia" w:ascii="Times New Roman" w:hAnsi="Times New Roman" w:eastAsia="宋体" w:cs="Times New Roman"/>
              </w:rPr>
              <w:t>主要生产设备有：</w:t>
            </w:r>
            <w:r>
              <w:rPr>
                <w:rFonts w:hint="eastAsia" w:ascii="Times New Roman" w:hAnsi="Times New Roman" w:eastAsia="宋体" w:cs="Times New Roman"/>
                <w:u w:val="single"/>
              </w:rPr>
              <w:t>办公设备、冰箱、冰柜、消毒柜、烹饪器具、电磁炉、绞肉机、洗衣设备、电梯、锅炉</w:t>
            </w:r>
            <w:r>
              <w:rPr>
                <w:rFonts w:hint="eastAsia"/>
                <w:u w:val="single"/>
              </w:rPr>
              <w:t>、对讲机、巡更棒、手电等</w:t>
            </w:r>
            <w:r>
              <w:rPr>
                <w:rFonts w:hint="eastAsia"/>
              </w:rPr>
              <w:t>（列举2~4种）</w:t>
            </w:r>
            <w:r>
              <w:rPr>
                <w:rFonts w:hint="eastAsia" w:ascii="Times New Roman" w:hAnsi="Times New Roman" w:eastAsia="宋体" w:cs="Times New Roman"/>
                <w:lang w:eastAsia="zh-CN"/>
              </w:rPr>
              <w:t>。</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叉车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行车 </w:t>
            </w:r>
            <w:r>
              <w:rPr>
                <w:rFonts w:hint="eastAsia" w:cs="Times New Roman"/>
                <w:lang w:eastAsia="zh-CN"/>
              </w:rPr>
              <w:t>■</w:t>
            </w:r>
            <w:r>
              <w:rPr>
                <w:rFonts w:hint="eastAsia" w:ascii="Times New Roman" w:hAnsi="Times New Roman" w:eastAsia="宋体" w:cs="Times New Roman"/>
              </w:rPr>
              <w:t xml:space="preserve">锅炉 </w:t>
            </w:r>
            <w:r>
              <w:rPr>
                <w:rFonts w:hint="eastAsia" w:cs="Times New Roman"/>
                <w:lang w:eastAsia="zh-CN"/>
              </w:rPr>
              <w:t>■</w:t>
            </w:r>
            <w:r>
              <w:rPr>
                <w:rFonts w:hint="eastAsia" w:ascii="Times New Roman" w:hAnsi="Times New Roman" w:eastAsia="宋体" w:cs="Times New Roman"/>
              </w:rPr>
              <w:t xml:space="preserve">电梯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压力容器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压力管道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不适用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 xml:space="preserve">      </w:t>
            </w:r>
            <w:r>
              <w:rPr>
                <w:rFonts w:hint="eastAsia"/>
                <w:u w:val="single"/>
                <w:lang w:eastAsia="zh-CN"/>
              </w:rPr>
              <w:t>（</w:t>
            </w:r>
            <w:r>
              <w:rPr>
                <w:rFonts w:hint="eastAsia"/>
                <w:u w:val="single"/>
              </w:rPr>
              <w:t>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r>
              <w:rPr>
                <w:rFonts w:hint="eastAsia"/>
                <w:lang w:eastAsia="zh-CN"/>
              </w:rPr>
              <w:t>：</w:t>
            </w:r>
            <w:r>
              <w:rPr>
                <w:rFonts w:hint="eastAsia" w:ascii="宋体" w:hAnsi="宋体"/>
                <w:color w:val="000000" w:themeColor="text1"/>
                <w:szCs w:val="22"/>
              </w:rPr>
              <w:t>绿化、电梯维保、消防维保</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325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pPr>
                  <w:r>
                    <w:rPr>
                      <w:rFonts w:hint="eastAsia"/>
                    </w:rPr>
                    <w:t>重要环境因素</w:t>
                  </w:r>
                </w:p>
              </w:tc>
              <w:tc>
                <w:tcPr>
                  <w:tcW w:w="3258"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center"/>
                </w:tcPr>
                <w:p>
                  <w:pPr>
                    <w:spacing w:line="400" w:lineRule="exact"/>
                    <w:rPr>
                      <w:rFonts w:hint="eastAsia" w:ascii="Times New Roman" w:hAnsi="Times New Roman" w:eastAsia="宋体" w:cs="Times New Roman"/>
                      <w:kern w:val="2"/>
                      <w:sz w:val="22"/>
                      <w:szCs w:val="22"/>
                      <w:lang w:val="en-US" w:eastAsia="zh-CN" w:bidi="ar-SA"/>
                    </w:rPr>
                  </w:pPr>
                  <w:r>
                    <w:rPr>
                      <w:rFonts w:hint="eastAsia" w:ascii="宋体" w:hAnsi="宋体" w:cs="宋体"/>
                      <w:kern w:val="0"/>
                      <w:position w:val="-1"/>
                      <w:sz w:val="22"/>
                      <w:szCs w:val="22"/>
                    </w:rPr>
                    <w:t>固体废弃物分类收集，处理率100%</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center"/>
                </w:tcPr>
                <w:p>
                  <w:pPr>
                    <w:spacing w:line="400" w:lineRule="exact"/>
                    <w:rPr>
                      <w:rFonts w:hint="eastAsia" w:ascii="Times New Roman" w:hAnsi="Times New Roman" w:eastAsia="宋体" w:cs="Times New Roman"/>
                      <w:kern w:val="2"/>
                      <w:sz w:val="22"/>
                      <w:szCs w:val="22"/>
                      <w:lang w:val="en-US" w:eastAsia="zh-CN" w:bidi="ar-SA"/>
                    </w:rPr>
                  </w:pPr>
                  <w:r>
                    <w:rPr>
                      <w:rFonts w:hint="eastAsia" w:ascii="宋体" w:hAnsi="宋体"/>
                      <w:sz w:val="22"/>
                      <w:szCs w:val="22"/>
                    </w:rPr>
                    <w:t>火灾事故为0</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pPr>
                  <w:r>
                    <w:rPr>
                      <w:rFonts w:hint="eastAsia"/>
                    </w:rPr>
                    <w:t>其他</w:t>
                  </w:r>
                </w:p>
              </w:tc>
              <w:tc>
                <w:tcPr>
                  <w:tcW w:w="3258"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 xml:space="preserve"> 电梯、锅炉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val="en-US" w:eastAsia="zh-CN"/>
              </w:rPr>
            </w:pPr>
            <w:r>
              <w:rPr>
                <w:rFonts w:hint="eastAsia" w:eastAsia="宋体"/>
              </w:rPr>
              <w:t>已发生的更改包括：</w:t>
            </w:r>
            <w:r>
              <w:rPr>
                <w:rFonts w:hint="eastAsia" w:eastAsia="宋体"/>
                <w:lang w:val="en-US" w:eastAsia="zh-CN"/>
              </w:rPr>
              <w:t>无</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ascii="Wingdings" w:hAnsi="Wingdings"/>
                <w:lang w:eastAsia="zh-CN"/>
              </w:rPr>
              <w:t>□</w:t>
            </w:r>
            <w:r>
              <w:rPr>
                <w:rFonts w:hint="eastAsia" w:eastAsia="宋体"/>
              </w:rPr>
              <w:t xml:space="preserve">图纸 </w:t>
            </w:r>
            <w:r>
              <w:rPr>
                <w:rFonts w:hint="eastAsia" w:ascii="Wingdings" w:hAnsi="Wingdings"/>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lang w:eastAsia="zh-CN"/>
              </w:rPr>
              <w:t>■</w:t>
            </w:r>
            <w:r>
              <w:rPr>
                <w:rFonts w:hint="eastAsia"/>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pPr>
            <w:r>
              <w:rPr>
                <w:rFonts w:hint="eastAsia"/>
                <w:color w:val="000000"/>
                <w:highlight w:val="none"/>
                <w:u w:val="single"/>
                <w:lang w:val="en-US" w:eastAsia="zh-CN"/>
              </w:rPr>
              <w:t>于</w:t>
            </w:r>
            <w:r>
              <w:rPr>
                <w:rFonts w:hint="eastAsia" w:ascii="Times New Roman" w:hAnsi="Times New Roman" w:eastAsia="宋体" w:cs="Times New Roman"/>
                <w:color w:val="000000"/>
                <w:highlight w:val="none"/>
                <w:u w:val="single"/>
              </w:rPr>
              <w:t>2021年</w:t>
            </w:r>
            <w:r>
              <w:rPr>
                <w:rFonts w:hint="eastAsia" w:cs="Times New Roman"/>
                <w:color w:val="000000"/>
                <w:highlight w:val="none"/>
                <w:u w:val="single"/>
                <w:lang w:val="en-US" w:eastAsia="zh-CN"/>
              </w:rPr>
              <w:t>6</w:t>
            </w:r>
            <w:r>
              <w:rPr>
                <w:rFonts w:hint="eastAsia" w:ascii="Times New Roman" w:hAnsi="Times New Roman" w:eastAsia="宋体" w:cs="Times New Roman"/>
                <w:color w:val="000000"/>
                <w:highlight w:val="none"/>
                <w:u w:val="single"/>
              </w:rPr>
              <w:t>月1</w:t>
            </w:r>
            <w:r>
              <w:rPr>
                <w:rFonts w:hint="eastAsia" w:cs="Times New Roman"/>
                <w:color w:val="000000"/>
                <w:highlight w:val="none"/>
                <w:u w:val="single"/>
                <w:lang w:val="en-US" w:eastAsia="zh-CN"/>
              </w:rPr>
              <w:t>5</w:t>
            </w:r>
            <w:r>
              <w:rPr>
                <w:rFonts w:hint="eastAsia" w:ascii="Times New Roman" w:hAnsi="Times New Roman" w:eastAsia="宋体" w:cs="Times New Roman"/>
                <w:color w:val="000000"/>
                <w:highlight w:val="none"/>
                <w:u w:val="single"/>
              </w:rPr>
              <w:t>日</w:t>
            </w:r>
            <w:r>
              <w:rPr>
                <w:rFonts w:hint="eastAsia" w:ascii="Times New Roman" w:hAnsi="Times New Roman" w:eastAsia="宋体" w:cs="Times New Roman"/>
                <w:color w:val="000000"/>
                <w:highlight w:val="none"/>
                <w:u w:val="single"/>
                <w:lang w:val="en-US" w:eastAsia="zh-CN"/>
              </w:rPr>
              <w:t>进行了</w:t>
            </w:r>
            <w:r>
              <w:rPr>
                <w:rFonts w:hint="eastAsia" w:cs="Times New Roman"/>
                <w:color w:val="000000"/>
                <w:highlight w:val="none"/>
                <w:u w:val="single"/>
                <w:lang w:val="en-US" w:eastAsia="zh-CN"/>
              </w:rPr>
              <w:t>消防火灾</w:t>
            </w:r>
            <w:r>
              <w:rPr>
                <w:rFonts w:hint="eastAsia" w:ascii="Times New Roman" w:hAnsi="Times New Roman" w:eastAsia="宋体" w:cs="Times New Roman"/>
                <w:color w:val="000000"/>
                <w:highlight w:val="none"/>
                <w:u w:val="single"/>
              </w:rPr>
              <w:t>演习</w:t>
            </w:r>
            <w:r>
              <w:rPr>
                <w:rFonts w:hint="eastAsia" w:cs="Times New Roman"/>
                <w:color w:val="000000"/>
                <w:highlight w:val="none"/>
                <w:u w:val="single"/>
                <w:lang w:eastAsia="zh-CN"/>
              </w:rPr>
              <w:t>，</w:t>
            </w:r>
            <w:r>
              <w:rPr>
                <w:rFonts w:hint="eastAsia" w:cs="Times New Roman"/>
                <w:color w:val="000000"/>
                <w:highlight w:val="none"/>
                <w:u w:val="single"/>
                <w:lang w:val="en-US" w:eastAsia="zh-CN"/>
              </w:rPr>
              <w:t>6月6日进行了触电应急演练</w:t>
            </w:r>
            <w:r>
              <w:rPr>
                <w:rFonts w:hint="eastAsia"/>
                <w:highlight w:val="none"/>
              </w:rPr>
              <w:t>；</w:t>
            </w:r>
            <w:r>
              <w:rPr>
                <w:rFonts w:hint="eastAsia"/>
              </w:rPr>
              <w:t xml:space="preserve">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highlight w:val="none"/>
              </w:rPr>
            </w:pPr>
            <w:r>
              <w:rPr>
                <w:rFonts w:hint="eastAsia"/>
              </w:rPr>
              <w:t>实施合规性评</w:t>
            </w:r>
            <w:r>
              <w:rPr>
                <w:rFonts w:hint="eastAsia"/>
                <w:highlight w:val="none"/>
              </w:rPr>
              <w:t>价的时间：</w:t>
            </w:r>
          </w:p>
          <w:p>
            <w:pPr>
              <w:shd w:val="clear" w:color="auto" w:fill="EBF1DE" w:themeFill="accent3" w:themeFillTint="32"/>
              <w:rPr>
                <w:rFonts w:hint="eastAsia"/>
                <w:highlight w:val="none"/>
              </w:rPr>
            </w:pPr>
            <w:r>
              <w:rPr>
                <w:rFonts w:hint="eastAsia"/>
                <w:highlight w:val="none"/>
                <w:lang w:eastAsia="zh-CN"/>
              </w:rPr>
              <w:t>■</w:t>
            </w:r>
            <w:r>
              <w:rPr>
                <w:rFonts w:hint="eastAsia"/>
                <w:highlight w:val="none"/>
              </w:rPr>
              <w:t>定期（每年） ：</w:t>
            </w:r>
            <w:r>
              <w:rPr>
                <w:rFonts w:hint="eastAsia"/>
                <w:highlight w:val="none"/>
                <w:u w:val="single"/>
              </w:rPr>
              <w:t>20</w:t>
            </w:r>
            <w:r>
              <w:rPr>
                <w:rFonts w:hint="eastAsia"/>
                <w:highlight w:val="none"/>
                <w:u w:val="single"/>
                <w:lang w:val="en-US" w:eastAsia="zh-CN"/>
              </w:rPr>
              <w:t>21</w:t>
            </w:r>
            <w:r>
              <w:rPr>
                <w:rFonts w:hint="eastAsia"/>
                <w:highlight w:val="none"/>
                <w:u w:val="single"/>
              </w:rPr>
              <w:t>年</w:t>
            </w:r>
            <w:r>
              <w:rPr>
                <w:rFonts w:hint="eastAsia"/>
                <w:highlight w:val="none"/>
                <w:u w:val="single"/>
                <w:lang w:val="en-US" w:eastAsia="zh-CN"/>
              </w:rPr>
              <w:t>6</w:t>
            </w:r>
            <w:r>
              <w:rPr>
                <w:rFonts w:hint="eastAsia"/>
                <w:highlight w:val="none"/>
                <w:u w:val="single"/>
              </w:rPr>
              <w:t>月</w:t>
            </w:r>
            <w:r>
              <w:rPr>
                <w:rFonts w:hint="eastAsia"/>
                <w:highlight w:val="none"/>
                <w:u w:val="single"/>
                <w:lang w:val="en-US" w:eastAsia="zh-CN"/>
              </w:rPr>
              <w:t>10</w:t>
            </w:r>
            <w:r>
              <w:rPr>
                <w:rFonts w:hint="eastAsia"/>
                <w:highlight w:val="none"/>
                <w:u w:val="single"/>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Times New Roman" w:hAnsi="Times New Roman" w:eastAsia="宋体" w:cs="Times New Roman"/>
                <w:color w:val="000000"/>
                <w:szCs w:val="18"/>
                <w:u w:val="single"/>
                <w:lang w:val="en-US" w:eastAsia="zh-CN"/>
              </w:rPr>
              <w:t>2021年7月11日至7月12日</w:t>
            </w:r>
            <w:r>
              <w:rPr>
                <w:rFonts w:hint="eastAsia"/>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项不符合</w:t>
            </w:r>
            <w:r>
              <w:rPr>
                <w:rFonts w:hint="eastAsia"/>
                <w:highlight w:val="none"/>
              </w:rPr>
              <w:t>在</w:t>
            </w:r>
            <w:r>
              <w:rPr>
                <w:rFonts w:hint="eastAsia"/>
              </w:rPr>
              <w:t>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color w:val="000000"/>
                <w:szCs w:val="18"/>
                <w:u w:val="single"/>
                <w:lang w:val="en-US" w:eastAsia="zh-CN"/>
              </w:rPr>
              <w:t>2021</w:t>
            </w:r>
            <w:r>
              <w:rPr>
                <w:rFonts w:hint="eastAsia"/>
                <w:color w:val="000000"/>
                <w:szCs w:val="18"/>
              </w:rPr>
              <w:t>年</w:t>
            </w:r>
            <w:r>
              <w:rPr>
                <w:rFonts w:hint="eastAsia"/>
                <w:color w:val="000000"/>
                <w:szCs w:val="18"/>
                <w:u w:val="single"/>
                <w:lang w:val="en-US" w:eastAsia="zh-CN"/>
              </w:rPr>
              <w:t>7</w:t>
            </w:r>
            <w:r>
              <w:rPr>
                <w:color w:val="000000"/>
                <w:szCs w:val="18"/>
                <w:u w:val="single"/>
              </w:rPr>
              <w:t xml:space="preserve"> </w:t>
            </w:r>
            <w:r>
              <w:rPr>
                <w:rFonts w:hint="eastAsia"/>
                <w:color w:val="000000"/>
                <w:szCs w:val="18"/>
              </w:rPr>
              <w:t>月</w:t>
            </w:r>
            <w:r>
              <w:rPr>
                <w:rFonts w:hint="eastAsia"/>
                <w:color w:val="000000"/>
                <w:szCs w:val="18"/>
                <w:u w:val="single"/>
                <w:lang w:val="en-US" w:eastAsia="zh-CN"/>
              </w:rPr>
              <w:t>30</w:t>
            </w:r>
            <w:r>
              <w:rPr>
                <w:color w:val="000000"/>
                <w:szCs w:val="18"/>
                <w:u w:val="single"/>
              </w:rPr>
              <w:t xml:space="preserve"> </w:t>
            </w:r>
            <w:r>
              <w:rPr>
                <w:rFonts w:hint="eastAsia"/>
                <w:color w:val="000000"/>
                <w:szCs w:val="18"/>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eastAsia="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ascii="宋体" w:hAnsi="宋体" w:eastAsia="宋体" w:cs="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spacing w:val="-2"/>
                <w:sz w:val="20"/>
              </w:rPr>
              <w:t>OHSMS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□危化品管理 </w:t>
            </w:r>
            <w:r>
              <w:rPr>
                <w:rFonts w:hint="eastAsia"/>
                <w:lang w:eastAsia="zh-CN"/>
              </w:rPr>
              <w:t>■</w:t>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 xml:space="preserve">□人员培训 </w:t>
            </w:r>
            <w:r>
              <w:rPr>
                <w:rFonts w:hint="eastAsia"/>
                <w:lang w:eastAsia="zh-CN"/>
              </w:rPr>
              <w:t>■</w:t>
            </w:r>
            <w:r>
              <w:rPr>
                <w:rFonts w:hint="eastAsia"/>
              </w:rPr>
              <w:t>其他</w:t>
            </w:r>
            <w:r>
              <w:rPr>
                <w:rFonts w:hint="eastAsia"/>
                <w:lang w:eastAsia="zh-CN"/>
              </w:rPr>
              <w:t>：</w:t>
            </w:r>
            <w:r>
              <w:rPr>
                <w:rFonts w:hint="eastAsia" w:ascii="宋体" w:hAnsi="宋体"/>
                <w:color w:val="000000" w:themeColor="text1"/>
                <w:szCs w:val="22"/>
                <w14:textFill>
                  <w14:solidFill>
                    <w14:schemeClr w14:val="tx1"/>
                  </w14:solidFill>
                </w14:textFill>
              </w:rPr>
              <w:t>绿化、电梯维保、消防维保</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u w:val="single"/>
              </w:rPr>
            </w:pPr>
            <w:r>
              <w:rPr>
                <w:rFonts w:hint="eastAsia"/>
              </w:rPr>
              <w:t>最高管理者制定了文件化的职业健康安全管理体系方针：</w:t>
            </w:r>
            <w:r>
              <w:rPr>
                <w:rFonts w:hint="eastAsia" w:ascii="宋体" w:hAnsi="宋体" w:cs="宋体"/>
                <w:u w:val="single"/>
                <w:lang w:eastAsia="zh-CN"/>
              </w:rPr>
              <w:t>树立品质意识、创造精益管理、合法经营、预防为主、持续改进。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人行部</w:t>
            </w:r>
          </w:p>
          <w:p>
            <w:pPr>
              <w:rPr>
                <w:rFonts w:hint="default" w:eastAsia="宋体"/>
                <w:lang w:val="en-US" w:eastAsia="zh-CN"/>
              </w:rPr>
            </w:pPr>
            <w:r>
              <w:rPr>
                <w:rFonts w:hint="eastAsia"/>
              </w:rPr>
              <w:t>安全的主管部门是——</w:t>
            </w:r>
            <w:r>
              <w:rPr>
                <w:rFonts w:hint="eastAsia"/>
                <w:lang w:val="en-US" w:eastAsia="zh-CN"/>
              </w:rPr>
              <w:t>人行部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刘鸿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火灾事故为零</w:t>
                  </w:r>
                </w:p>
              </w:tc>
              <w:tc>
                <w:tcPr>
                  <w:tcW w:w="3965"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物理伤害</w:t>
                  </w:r>
                </w:p>
              </w:tc>
              <w:tc>
                <w:tcPr>
                  <w:tcW w:w="3965"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eastAsia" w:ascii="Times New Roman" w:hAnsi="Times New Roman" w:eastAsia="宋体" w:cs="Times New Roman"/>
                      <w:color w:val="000000"/>
                      <w:szCs w:val="18"/>
                      <w:highlight w:val="none"/>
                      <w:lang w:eastAsia="zh-CN"/>
                    </w:rPr>
                  </w:pPr>
                  <w:r>
                    <w:rPr>
                      <w:rFonts w:hint="eastAsia" w:ascii="Times New Roman" w:hAnsi="Times New Roman" w:eastAsia="宋体" w:cs="Times New Roman"/>
                      <w:color w:val="000000"/>
                      <w:szCs w:val="18"/>
                      <w:highlight w:val="none"/>
                      <w:lang w:eastAsia="zh-CN"/>
                    </w:rPr>
                    <w:t>食物中毒</w:t>
                  </w:r>
                </w:p>
              </w:tc>
              <w:tc>
                <w:tcPr>
                  <w:tcW w:w="3965" w:type="dxa"/>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eastAsia" w:ascii="Times New Roman" w:hAnsi="Times New Roman" w:eastAsia="宋体" w:cs="Times New Roman"/>
                      <w:color w:val="000000"/>
                      <w:szCs w:val="18"/>
                      <w:highlight w:val="none"/>
                      <w:lang w:eastAsia="zh-CN"/>
                    </w:rPr>
                  </w:pPr>
                  <w:r>
                    <w:rPr>
                      <w:rFonts w:hint="eastAsia" w:ascii="Times New Roman" w:hAnsi="Times New Roman" w:eastAsia="宋体" w:cs="Times New Roman"/>
                      <w:color w:val="000000"/>
                      <w:szCs w:val="18"/>
                      <w:highlight w:val="none"/>
                      <w:lang w:eastAsia="zh-CN"/>
                    </w:rPr>
                    <w:t>人员摔伤</w:t>
                  </w:r>
                </w:p>
              </w:tc>
              <w:tc>
                <w:tcPr>
                  <w:tcW w:w="3965" w:type="dxa"/>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ascii="Times New Roman" w:hAnsi="Times New Roman" w:eastAsia="宋体" w:cs="Times New Roman"/>
                      <w:color w:val="000000"/>
                      <w:szCs w:val="18"/>
                      <w:highlight w:val="none"/>
                      <w:lang w:eastAsia="zh-CN"/>
                    </w:rPr>
                    <w:t>人员烫伤</w:t>
                  </w:r>
                </w:p>
              </w:tc>
              <w:tc>
                <w:tcPr>
                  <w:tcW w:w="3965" w:type="dxa"/>
                </w:tcPr>
                <w:p>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Times New Roman" w:hAnsi="Times New Roman" w:eastAsia="宋体" w:cs="Times New Roman"/>
                      <w:color w:val="000000"/>
                      <w:szCs w:val="18"/>
                      <w:highlight w:val="none"/>
                      <w:lang w:eastAsia="zh-CN"/>
                    </w:rPr>
                  </w:pPr>
                  <w:r>
                    <w:rPr>
                      <w:rFonts w:hint="eastAsia" w:ascii="Times New Roman" w:hAnsi="Times New Roman" w:eastAsia="宋体" w:cs="Times New Roman"/>
                      <w:color w:val="000000"/>
                      <w:szCs w:val="18"/>
                      <w:highlight w:val="none"/>
                      <w:lang w:eastAsia="zh-CN"/>
                    </w:rPr>
                    <w:t>意外伤害</w:t>
                  </w:r>
                </w:p>
              </w:tc>
              <w:tc>
                <w:tcPr>
                  <w:tcW w:w="3965" w:type="dxa"/>
                </w:tcPr>
                <w:p>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r>
                    <w:rPr>
                      <w:rFonts w:hint="eastAsia"/>
                      <w:highlight w:val="none"/>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□噪声 □粉尘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w:t>
            </w:r>
            <w:r>
              <w:rPr>
                <w:rFonts w:hint="eastAsia"/>
                <w:highlight w:val="none"/>
              </w:rPr>
              <w:t xml:space="preserve">  </w:t>
            </w:r>
            <w:r>
              <w:rPr>
                <w:rFonts w:hint="eastAsia"/>
                <w:highlight w:val="none"/>
                <w:lang w:eastAsia="zh-CN"/>
              </w:rPr>
              <w:t>■</w:t>
            </w:r>
            <w:r>
              <w:rPr>
                <w:rFonts w:hint="eastAsia"/>
                <w:highlight w:val="none"/>
              </w:rPr>
              <w:t>其他</w:t>
            </w:r>
            <w:r>
              <w:rPr>
                <w:rFonts w:hint="eastAsia"/>
                <w:highlight w:val="none"/>
                <w:lang w:eastAsia="zh-CN"/>
              </w:rPr>
              <w:t>：</w:t>
            </w:r>
            <w:r>
              <w:rPr>
                <w:rFonts w:hint="eastAsia" w:ascii="宋体" w:hAnsi="宋体" w:cs="宋体"/>
                <w:szCs w:val="21"/>
                <w:highlight w:val="none"/>
              </w:rPr>
              <w:t>物理伤害</w:t>
            </w:r>
            <w:r>
              <w:rPr>
                <w:rFonts w:hint="eastAsia" w:ascii="宋体" w:hAnsi="宋体" w:cs="宋体"/>
                <w:szCs w:val="21"/>
                <w:highlight w:val="none"/>
                <w:lang w:eastAsia="zh-CN"/>
              </w:rPr>
              <w:t>、</w:t>
            </w:r>
            <w:r>
              <w:rPr>
                <w:rFonts w:hint="eastAsia" w:ascii="宋体" w:hAnsi="宋体" w:cs="宋体"/>
                <w:szCs w:val="21"/>
                <w:highlight w:val="none"/>
              </w:rPr>
              <w:t>食物中毒</w:t>
            </w:r>
            <w:r>
              <w:rPr>
                <w:rFonts w:hint="eastAsia" w:ascii="宋体" w:hAnsi="宋体" w:cs="宋体"/>
                <w:szCs w:val="21"/>
                <w:highlight w:val="none"/>
                <w:lang w:eastAsia="zh-CN"/>
              </w:rPr>
              <w:t>、</w:t>
            </w:r>
            <w:r>
              <w:rPr>
                <w:rFonts w:hint="eastAsia" w:ascii="宋体" w:hAnsi="宋体" w:cs="宋体"/>
                <w:szCs w:val="21"/>
                <w:highlight w:val="none"/>
              </w:rPr>
              <w:t>人员摔伤</w:t>
            </w:r>
            <w:r>
              <w:rPr>
                <w:rFonts w:hint="eastAsia" w:ascii="宋体" w:hAnsi="宋体" w:cs="宋体"/>
                <w:szCs w:val="21"/>
                <w:highlight w:val="none"/>
                <w:lang w:eastAsia="zh-CN"/>
              </w:rPr>
              <w:t>、</w:t>
            </w:r>
            <w:r>
              <w:rPr>
                <w:rFonts w:hint="eastAsia" w:ascii="宋体" w:hAnsi="宋体" w:cs="宋体"/>
                <w:szCs w:val="21"/>
                <w:highlight w:val="none"/>
              </w:rPr>
              <w:t>人员烫伤</w:t>
            </w:r>
            <w:r>
              <w:rPr>
                <w:rFonts w:hint="eastAsia" w:ascii="宋体" w:hAnsi="宋体" w:cs="宋体"/>
                <w:szCs w:val="21"/>
                <w:highlight w:val="none"/>
                <w:lang w:eastAsia="zh-CN"/>
              </w:rPr>
              <w:t>、</w:t>
            </w:r>
            <w:r>
              <w:rPr>
                <w:rFonts w:hint="eastAsia" w:ascii="宋体" w:hAnsi="宋体" w:cs="宋体"/>
                <w:szCs w:val="21"/>
                <w:highlight w:val="none"/>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pPr>
              <w:rPr>
                <w:rFonts w:hint="default" w:eastAsia="宋体"/>
                <w:lang w:val="en-US" w:eastAsia="zh-CN"/>
              </w:rPr>
            </w:pPr>
            <w:r>
              <w:rPr>
                <w:rFonts w:hint="eastAsia"/>
                <w:lang w:eastAsia="zh-CN"/>
              </w:rPr>
              <w:t>■</w:t>
            </w:r>
            <w:r>
              <w:rPr>
                <w:rFonts w:hint="eastAsia"/>
              </w:rPr>
              <w:t>消防验收/备案证明日期：</w:t>
            </w:r>
            <w:r>
              <w:rPr>
                <w:rFonts w:hint="eastAsia"/>
                <w:u w:val="single"/>
                <w:lang w:val="en-US" w:eastAsia="zh-CN"/>
              </w:rPr>
              <w:t>2012-9-14</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漏电保护  □穿戴劳保用品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组织建立了与方针一致的文件化的管理目标。为实现总职业健康安全目标而建立的各层级环境目标具体、有针对性、可测量并且可实现。</w:t>
            </w:r>
          </w:p>
          <w:p>
            <w:pPr>
              <w:rPr>
                <w:highlight w:val="none"/>
              </w:rPr>
            </w:pPr>
            <w:r>
              <w:rPr>
                <w:rFonts w:hint="eastAsia"/>
                <w:highlight w:val="none"/>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306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shd w:val="clear" w:color="auto" w:fill="auto"/>
                </w:tcPr>
                <w:p>
                  <w:pPr>
                    <w:rPr>
                      <w:rFonts w:ascii="宋体" w:hAnsi="宋体"/>
                      <w:highlight w:val="none"/>
                    </w:rPr>
                  </w:pPr>
                  <w:r>
                    <w:rPr>
                      <w:rFonts w:hint="eastAsia"/>
                      <w:highlight w:val="none"/>
                    </w:rPr>
                    <w:t>职业健康安全</w:t>
                  </w:r>
                  <w:r>
                    <w:rPr>
                      <w:rFonts w:hint="eastAsia" w:ascii="宋体" w:hAnsi="宋体"/>
                      <w:highlight w:val="none"/>
                    </w:rPr>
                    <w:t>目标</w:t>
                  </w:r>
                </w:p>
              </w:tc>
              <w:tc>
                <w:tcPr>
                  <w:tcW w:w="3066" w:type="dxa"/>
                  <w:shd w:val="clear" w:color="auto" w:fill="auto"/>
                </w:tcPr>
                <w:p>
                  <w:pPr>
                    <w:rPr>
                      <w:rFonts w:ascii="宋体" w:hAnsi="宋体"/>
                      <w:highlight w:val="none"/>
                    </w:rPr>
                  </w:pPr>
                  <w:r>
                    <w:rPr>
                      <w:rFonts w:hint="eastAsia" w:ascii="宋体" w:hAnsi="宋体"/>
                      <w:highlight w:val="none"/>
                    </w:rPr>
                    <w:t>控制措施</w:t>
                  </w:r>
                </w:p>
              </w:tc>
              <w:tc>
                <w:tcPr>
                  <w:tcW w:w="1350" w:type="dxa"/>
                  <w:shd w:val="clear" w:color="auto" w:fill="auto"/>
                </w:tcPr>
                <w:p>
                  <w:pPr>
                    <w:rPr>
                      <w:rFonts w:ascii="宋体" w:hAnsi="宋体"/>
                      <w:highlight w:val="none"/>
                    </w:rPr>
                  </w:pPr>
                  <w:r>
                    <w:rPr>
                      <w:rFonts w:hint="eastAsia" w:ascii="宋体" w:hAnsi="宋体"/>
                      <w:highlight w:val="none"/>
                    </w:rPr>
                    <w:t>责任部门</w:t>
                  </w:r>
                </w:p>
              </w:tc>
              <w:tc>
                <w:tcPr>
                  <w:tcW w:w="1774" w:type="dxa"/>
                  <w:shd w:val="clear" w:color="auto" w:fill="auto"/>
                </w:tcPr>
                <w:p>
                  <w:pPr>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shd w:val="clear" w:color="auto" w:fill="auto"/>
                  <w:vAlign w:val="center"/>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火灾事故为0</w:t>
                  </w:r>
                </w:p>
              </w:tc>
              <w:tc>
                <w:tcPr>
                  <w:tcW w:w="3066" w:type="dxa"/>
                  <w:shd w:val="clear" w:color="auto" w:fill="auto"/>
                  <w:vAlign w:val="center"/>
                </w:tcPr>
                <w:p>
                  <w:pPr>
                    <w:rPr>
                      <w:rFonts w:hint="eastAsia" w:asciiTheme="minorEastAsia" w:hAnsiTheme="minorEastAsia" w:eastAsiaTheme="minorEastAsia"/>
                      <w:b w:val="0"/>
                      <w:bCs w:val="0"/>
                      <w:sz w:val="21"/>
                      <w:szCs w:val="21"/>
                      <w:highlight w:val="none"/>
                      <w:lang w:val="en-GB" w:eastAsia="zh-CN"/>
                    </w:rPr>
                  </w:pPr>
                  <w:r>
                    <w:rPr>
                      <w:rFonts w:hint="eastAsia" w:asciiTheme="minorEastAsia" w:hAnsiTheme="minorEastAsia" w:eastAsiaTheme="minorEastAsia"/>
                      <w:b w:val="0"/>
                      <w:bCs w:val="0"/>
                      <w:sz w:val="21"/>
                      <w:szCs w:val="21"/>
                      <w:highlight w:val="none"/>
                      <w:lang w:val="en-US" w:eastAsia="zh-CN"/>
                    </w:rPr>
                    <w:t>通过管理方案和预案措施、应急演练进行管理</w:t>
                  </w:r>
                </w:p>
              </w:tc>
              <w:tc>
                <w:tcPr>
                  <w:tcW w:w="1350" w:type="dxa"/>
                  <w:shd w:val="clear" w:color="auto" w:fill="auto"/>
                  <w:vAlign w:val="center"/>
                </w:tcPr>
                <w:p>
                  <w:pPr>
                    <w:rPr>
                      <w:rFonts w:hint="default" w:eastAsia="宋体"/>
                      <w:highlight w:val="none"/>
                      <w:lang w:val="en-US" w:eastAsia="zh-CN"/>
                    </w:rPr>
                  </w:pPr>
                  <w:r>
                    <w:rPr>
                      <w:rFonts w:hint="eastAsia"/>
                      <w:highlight w:val="none"/>
                      <w:lang w:val="en-US" w:eastAsia="zh-CN"/>
                    </w:rPr>
                    <w:t>人行部</w:t>
                  </w:r>
                </w:p>
              </w:tc>
              <w:tc>
                <w:tcPr>
                  <w:tcW w:w="1774"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shd w:val="clear" w:color="auto" w:fill="auto"/>
                  <w:vAlign w:val="center"/>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食物中毒事故为0</w:t>
                  </w:r>
                </w:p>
              </w:tc>
              <w:tc>
                <w:tcPr>
                  <w:tcW w:w="3066" w:type="dxa"/>
                  <w:shd w:val="clear" w:color="auto" w:fill="auto"/>
                  <w:vAlign w:val="center"/>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通过管理方案和预案措施进行管理</w:t>
                  </w:r>
                </w:p>
              </w:tc>
              <w:tc>
                <w:tcPr>
                  <w:tcW w:w="1350" w:type="dxa"/>
                  <w:shd w:val="clear" w:color="auto" w:fill="auto"/>
                  <w:vAlign w:val="center"/>
                </w:tcPr>
                <w:p>
                  <w:pPr>
                    <w:rPr>
                      <w:rFonts w:hint="default" w:ascii="宋体" w:hAnsi="宋体" w:eastAsia="宋体"/>
                      <w:highlight w:val="none"/>
                      <w:lang w:val="en-US" w:eastAsia="zh-CN"/>
                    </w:rPr>
                  </w:pPr>
                  <w:r>
                    <w:rPr>
                      <w:rFonts w:hint="eastAsia"/>
                      <w:sz w:val="22"/>
                      <w:szCs w:val="22"/>
                      <w:highlight w:val="none"/>
                    </w:rPr>
                    <w:t>餐饮部</w:t>
                  </w:r>
                </w:p>
              </w:tc>
              <w:tc>
                <w:tcPr>
                  <w:tcW w:w="1774" w:type="dxa"/>
                  <w:shd w:val="clear" w:color="auto" w:fill="auto"/>
                  <w:vAlign w:val="center"/>
                </w:tcPr>
                <w:p>
                  <w:pPr>
                    <w:jc w:val="center"/>
                    <w:rPr>
                      <w:rFonts w:hint="default" w:ascii="宋体" w:hAnsi="宋体"/>
                      <w:highlight w:val="none"/>
                      <w:lang w:val="en-US"/>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shd w:val="clear" w:color="auto" w:fill="auto"/>
                  <w:vAlign w:val="center"/>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 xml:space="preserve">年重大安全事故（事件)发生为0  </w:t>
                  </w:r>
                </w:p>
              </w:tc>
              <w:tc>
                <w:tcPr>
                  <w:tcW w:w="3066" w:type="dxa"/>
                  <w:shd w:val="clear" w:color="auto" w:fill="auto"/>
                  <w:vAlign w:val="center"/>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通过管理方案和预案措施进行管理</w:t>
                  </w:r>
                </w:p>
              </w:tc>
              <w:tc>
                <w:tcPr>
                  <w:tcW w:w="1350" w:type="dxa"/>
                  <w:shd w:val="clear" w:color="auto" w:fill="auto"/>
                  <w:vAlign w:val="center"/>
                </w:tcPr>
                <w:p>
                  <w:pPr>
                    <w:rPr>
                      <w:rFonts w:hint="default" w:ascii="宋体" w:hAnsi="宋体"/>
                      <w:highlight w:val="none"/>
                      <w:lang w:val="en-US"/>
                    </w:rPr>
                  </w:pPr>
                  <w:r>
                    <w:rPr>
                      <w:rFonts w:hint="eastAsia"/>
                      <w:highlight w:val="none"/>
                      <w:lang w:val="en-US" w:eastAsia="zh-CN"/>
                    </w:rPr>
                    <w:t>人行部</w:t>
                  </w:r>
                </w:p>
              </w:tc>
              <w:tc>
                <w:tcPr>
                  <w:tcW w:w="1774"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0</w:t>
                  </w:r>
                </w:p>
              </w:tc>
            </w:tr>
          </w:tbl>
          <w:p>
            <w:pPr>
              <w:rPr>
                <w:highlight w:val="none"/>
              </w:rPr>
            </w:pPr>
            <w:r>
              <w:rPr>
                <w:rFonts w:hint="eastAsia" w:ascii="Wingdings" w:hAnsi="Wingdings"/>
                <w:highlight w:val="none"/>
                <w:lang w:eastAsia="zh-CN"/>
              </w:rPr>
              <w:t>■</w:t>
            </w:r>
            <w:r>
              <w:rPr>
                <w:rFonts w:hint="eastAsia"/>
                <w:highlight w:val="none"/>
              </w:rPr>
              <w:t>目标已实现</w:t>
            </w:r>
          </w:p>
          <w:p>
            <w:pPr>
              <w:rPr>
                <w:highlight w:val="none"/>
              </w:rPr>
            </w:pPr>
            <w:r>
              <w:rPr>
                <w:rFonts w:hint="eastAsia" w:ascii="Wingdings" w:hAnsi="Wingdings"/>
                <w:highlight w:val="none"/>
                <w:lang w:eastAsia="zh-CN"/>
              </w:rPr>
              <w:t>□</w:t>
            </w:r>
            <w:r>
              <w:rPr>
                <w:rFonts w:hint="eastAsia"/>
                <w:highlight w:val="none"/>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pPr>
              <w:rPr>
                <w:highlight w:val="none"/>
              </w:rPr>
            </w:pPr>
            <w:r>
              <w:rPr>
                <w:rFonts w:hint="eastAsia"/>
                <w:highlight w:val="none"/>
              </w:rPr>
              <w:t>组织的资源状况：</w:t>
            </w:r>
            <w:r>
              <w:rPr>
                <w:rFonts w:hint="eastAsia" w:ascii="Wingdings" w:hAnsi="Wingdings"/>
                <w:highlight w:val="none"/>
                <w:lang w:eastAsia="zh-CN"/>
              </w:rPr>
              <w:t>■</w:t>
            </w:r>
            <w:r>
              <w:rPr>
                <w:rFonts w:hint="eastAsia"/>
                <w:highlight w:val="none"/>
              </w:rPr>
              <w:t xml:space="preserve">人力资源 </w:t>
            </w:r>
            <w:r>
              <w:rPr>
                <w:rFonts w:hint="eastAsia" w:ascii="Wingdings" w:hAnsi="Wingdings"/>
                <w:highlight w:val="none"/>
                <w:lang w:eastAsia="zh-CN"/>
              </w:rPr>
              <w:t>□</w:t>
            </w:r>
            <w:r>
              <w:rPr>
                <w:rFonts w:hint="eastAsia"/>
                <w:highlight w:val="none"/>
              </w:rPr>
              <w:t xml:space="preserve">自然资源 </w:t>
            </w:r>
            <w:r>
              <w:rPr>
                <w:rFonts w:hint="eastAsia" w:ascii="Wingdings" w:hAnsi="Wingdings"/>
                <w:highlight w:val="none"/>
                <w:lang w:eastAsia="zh-CN"/>
              </w:rPr>
              <w:t>■</w:t>
            </w:r>
            <w:r>
              <w:rPr>
                <w:rFonts w:hint="eastAsia"/>
                <w:highlight w:val="none"/>
              </w:rPr>
              <w:t xml:space="preserve">基础设施  </w:t>
            </w:r>
            <w:r>
              <w:rPr>
                <w:rFonts w:hint="eastAsia" w:ascii="Wingdings" w:hAnsi="Wingdings"/>
                <w:highlight w:val="none"/>
                <w:lang w:eastAsia="zh-CN"/>
              </w:rPr>
              <w:t>□</w:t>
            </w:r>
            <w:r>
              <w:rPr>
                <w:rFonts w:hint="eastAsia"/>
                <w:highlight w:val="none"/>
              </w:rPr>
              <w:t xml:space="preserve">技术  </w:t>
            </w:r>
            <w:r>
              <w:rPr>
                <w:rFonts w:hint="eastAsia" w:ascii="Wingdings" w:hAnsi="Wingdings"/>
                <w:highlight w:val="none"/>
                <w:lang w:eastAsia="zh-CN"/>
              </w:rPr>
              <w:t>□</w:t>
            </w:r>
            <w:r>
              <w:rPr>
                <w:rFonts w:hint="eastAsia"/>
                <w:highlight w:val="none"/>
              </w:rPr>
              <w:t>财务资源。</w:t>
            </w:r>
          </w:p>
          <w:p>
            <w:pPr>
              <w:rPr>
                <w:highlight w:val="none"/>
              </w:rPr>
            </w:pPr>
            <w:r>
              <w:rPr>
                <w:rFonts w:hint="eastAsia"/>
                <w:highlight w:val="none"/>
                <w:lang w:eastAsia="zh-CN"/>
              </w:rPr>
              <w:t>■</w:t>
            </w:r>
            <w:r>
              <w:rPr>
                <w:rFonts w:hint="eastAsia"/>
                <w:highlight w:val="none"/>
              </w:rPr>
              <w:t>组织</w:t>
            </w:r>
            <w:r>
              <w:rPr>
                <w:highlight w:val="none"/>
              </w:rPr>
              <w:t>现有内部资源的能力</w:t>
            </w:r>
            <w:r>
              <w:rPr>
                <w:rFonts w:hint="eastAsia"/>
                <w:highlight w:val="none"/>
              </w:rPr>
              <w:t>可满足职业健康安全管理体系运行；</w:t>
            </w:r>
          </w:p>
          <w:p>
            <w:pPr>
              <w:rPr>
                <w:highlight w:val="none"/>
              </w:rPr>
            </w:pPr>
            <w:r>
              <w:rPr>
                <w:rFonts w:hint="eastAsia"/>
                <w:highlight w:val="none"/>
              </w:rPr>
              <w:t>□组织</w:t>
            </w:r>
            <w:r>
              <w:rPr>
                <w:highlight w:val="none"/>
              </w:rPr>
              <w:t>现有内部资源的能力</w:t>
            </w:r>
            <w:r>
              <w:rPr>
                <w:rFonts w:hint="eastAsia"/>
                <w:highlight w:val="none"/>
              </w:rPr>
              <w:t>可基本满足职业健康安全管理体系运行，但是还有不足需要补充：</w:t>
            </w:r>
            <w:r>
              <w:rPr>
                <w:rFonts w:hint="eastAsia"/>
                <w:highlight w:val="none"/>
                <w:u w:val="single"/>
              </w:rPr>
              <w:t xml:space="preserve">      </w:t>
            </w:r>
          </w:p>
          <w:p>
            <w:pPr>
              <w:rPr>
                <w:highlight w:val="none"/>
              </w:rPr>
            </w:pPr>
            <w:r>
              <w:rPr>
                <w:rFonts w:hint="eastAsia"/>
                <w:highlight w:val="none"/>
              </w:rPr>
              <w:t>□组织</w:t>
            </w:r>
            <w:r>
              <w:rPr>
                <w:highlight w:val="none"/>
              </w:rPr>
              <w:t>现有内部资源的能力</w:t>
            </w:r>
            <w:r>
              <w:rPr>
                <w:rFonts w:hint="eastAsia"/>
                <w:highlight w:val="none"/>
              </w:rPr>
              <w:t>完全不能满足职业健康安全管理体系运行，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lang w:eastAsia="zh-CN"/>
              </w:rPr>
            </w:pPr>
            <w:r>
              <w:rPr>
                <w:rFonts w:hint="eastAsia" w:ascii="Times New Roman" w:hAnsi="Times New Roman" w:eastAsia="宋体" w:cs="Times New Roman"/>
              </w:rPr>
              <w:t>主要生产设备有：</w:t>
            </w:r>
            <w:r>
              <w:rPr>
                <w:rFonts w:hint="eastAsia" w:ascii="Times New Roman" w:hAnsi="Times New Roman" w:eastAsia="宋体" w:cs="Times New Roman"/>
                <w:u w:val="single"/>
              </w:rPr>
              <w:t>办公设备、冰箱、冰柜、消毒柜、烹饪器具、电磁炉、绞肉机、洗衣设备、电梯、锅炉</w:t>
            </w:r>
            <w:r>
              <w:rPr>
                <w:rFonts w:hint="eastAsia"/>
                <w:u w:val="single"/>
              </w:rPr>
              <w:t>、对讲机、巡更棒、手电等</w:t>
            </w:r>
            <w:r>
              <w:rPr>
                <w:rFonts w:hint="eastAsia" w:ascii="Times New Roman" w:hAnsi="Times New Roman" w:eastAsia="宋体" w:cs="Times New Roman"/>
                <w:lang w:eastAsia="zh-CN"/>
              </w:rPr>
              <w:t>。</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lang w:val="en-US" w:eastAsia="zh-CN"/>
              </w:rPr>
              <w:t xml:space="preserve"> </w:t>
            </w:r>
            <w:r>
              <w:rPr>
                <w:rFonts w:hint="eastAsia"/>
                <w:u w:val="single"/>
                <w:lang w:val="en-US" w:eastAsia="zh-CN"/>
              </w:rPr>
              <w:t xml:space="preserve">          </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rFonts w:hint="eastAsia"/>
              </w:rPr>
            </w:pPr>
            <w:r>
              <w:rPr>
                <w:rFonts w:hint="eastAsia"/>
              </w:rPr>
              <w:t>组织对外部提供的过程、产品（危化品、特殊劳保用品）和服务的供方按照对职业健康安全风险的影响程度实施控制。</w:t>
            </w:r>
          </w:p>
          <w:p>
            <w:pPr>
              <w:jc w:val="left"/>
              <w:rPr>
                <w:rFonts w:hint="eastAsia"/>
              </w:rPr>
            </w:pPr>
            <w:r>
              <w:rPr>
                <w:rFonts w:hint="eastAsia"/>
              </w:rPr>
              <w:t>外部提供包括：</w:t>
            </w:r>
            <w:r>
              <w:rPr>
                <w:rFonts w:hint="eastAsia"/>
                <w:lang w:eastAsia="zh-CN"/>
              </w:rPr>
              <w:t>■</w:t>
            </w:r>
            <w:r>
              <w:rPr>
                <w:rFonts w:hint="eastAsia"/>
              </w:rPr>
              <w:t xml:space="preserve">原材料采购 </w:t>
            </w:r>
            <w:r>
              <w:rPr>
                <w:rFonts w:hint="eastAsia"/>
                <w:lang w:eastAsia="zh-CN"/>
              </w:rPr>
              <w:t>□</w:t>
            </w:r>
            <w:r>
              <w:rPr>
                <w:rFonts w:hint="eastAsia"/>
              </w:rPr>
              <w:t xml:space="preserve">委托加工  </w:t>
            </w:r>
            <w:r>
              <w:rPr>
                <w:rFonts w:hint="eastAsia"/>
                <w:lang w:eastAsia="zh-CN"/>
              </w:rPr>
              <w:t>□</w:t>
            </w:r>
            <w:r>
              <w:rPr>
                <w:rFonts w:hint="eastAsia"/>
              </w:rPr>
              <w:t xml:space="preserve">建筑施工 </w:t>
            </w:r>
            <w:r>
              <w:rPr>
                <w:rFonts w:hint="eastAsia"/>
                <w:lang w:eastAsia="zh-CN"/>
              </w:rPr>
              <w:t>□</w:t>
            </w:r>
            <w:r>
              <w:rPr>
                <w:rFonts w:hint="eastAsia"/>
              </w:rPr>
              <w:t xml:space="preserve">设备维保  </w:t>
            </w:r>
            <w:r>
              <w:rPr>
                <w:rFonts w:hint="eastAsia"/>
                <w:lang w:eastAsia="zh-CN"/>
              </w:rPr>
              <w:t>□</w:t>
            </w:r>
            <w:r>
              <w:rPr>
                <w:rFonts w:hint="eastAsia"/>
              </w:rPr>
              <w:t xml:space="preserve">运输  </w:t>
            </w:r>
            <w:r>
              <w:rPr>
                <w:rFonts w:hint="eastAsia"/>
                <w:lang w:eastAsia="zh-CN"/>
              </w:rPr>
              <w:t>■</w:t>
            </w:r>
            <w:r>
              <w:rPr>
                <w:rFonts w:hint="eastAsia"/>
              </w:rPr>
              <w:t>其他</w:t>
            </w:r>
            <w:r>
              <w:rPr>
                <w:rFonts w:hint="eastAsia"/>
                <w:lang w:eastAsia="zh-CN"/>
              </w:rPr>
              <w:t>：</w:t>
            </w:r>
            <w:r>
              <w:rPr>
                <w:rFonts w:hint="eastAsia"/>
              </w:rPr>
              <w:t>绿化、电梯维保、消防维保</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495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不可接受风险</w:t>
                  </w:r>
                </w:p>
              </w:tc>
              <w:tc>
                <w:tcPr>
                  <w:tcW w:w="4957" w:type="dxa"/>
                </w:tcPr>
                <w:p>
                  <w:pPr>
                    <w:jc w:val="left"/>
                  </w:pPr>
                  <w:r>
                    <w:rPr>
                      <w:rFonts w:hint="eastAsia"/>
                    </w:rPr>
                    <w:t>控制措施</w:t>
                  </w:r>
                </w:p>
              </w:tc>
              <w:tc>
                <w:tcPr>
                  <w:tcW w:w="1698"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机械伤害</w:t>
                  </w:r>
                </w:p>
              </w:tc>
              <w:tc>
                <w:tcPr>
                  <w:tcW w:w="4957" w:type="dxa"/>
                </w:tcPr>
                <w:p>
                  <w:pPr>
                    <w:jc w:val="left"/>
                  </w:pPr>
                  <w:r>
                    <w:rPr>
                      <w:rFonts w:hint="eastAsia"/>
                      <w:lang w:eastAsia="zh-CN"/>
                    </w:rPr>
                    <w:t>□</w:t>
                  </w:r>
                  <w:r>
                    <w:rPr>
                      <w:rFonts w:hint="eastAsia"/>
                    </w:rPr>
                    <w:t>安全装置 □挂牌上锁管理</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触电</w:t>
                  </w:r>
                </w:p>
              </w:tc>
              <w:tc>
                <w:tcPr>
                  <w:tcW w:w="4957" w:type="dxa"/>
                </w:tcPr>
                <w:p>
                  <w:pPr>
                    <w:jc w:val="left"/>
                  </w:pPr>
                  <w:r>
                    <w:rPr>
                      <w:rFonts w:hint="eastAsia"/>
                      <w:lang w:eastAsia="zh-CN"/>
                    </w:rPr>
                    <w:t>□</w:t>
                  </w:r>
                  <w:r>
                    <w:rPr>
                      <w:rFonts w:hint="eastAsia"/>
                    </w:rPr>
                    <w:t>漏电保护 □绝缘用具检测</w:t>
                  </w:r>
                </w:p>
              </w:tc>
              <w:tc>
                <w:tcPr>
                  <w:tcW w:w="1698"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粉尘</w:t>
                  </w:r>
                </w:p>
              </w:tc>
              <w:tc>
                <w:tcPr>
                  <w:tcW w:w="4957" w:type="dxa"/>
                </w:tcPr>
                <w:p>
                  <w:pPr>
                    <w:jc w:val="left"/>
                  </w:pPr>
                  <w:r>
                    <w:rPr>
                      <w:rFonts w:hint="eastAsia"/>
                    </w:rPr>
                    <w:t xml:space="preserve">□除尘装置  </w:t>
                  </w:r>
                  <w:r>
                    <w:rPr>
                      <w:rFonts w:hint="eastAsia" w:ascii="Wingdings" w:hAnsi="Wingdings"/>
                      <w:lang w:eastAsia="zh-CN"/>
                    </w:rPr>
                    <w:t>□</w:t>
                  </w:r>
                  <w:r>
                    <w:rPr>
                      <w:rFonts w:hint="eastAsia"/>
                    </w:rPr>
                    <w:t>穿戴劳保用品（防尘面罩）</w:t>
                  </w:r>
                </w:p>
              </w:tc>
              <w:tc>
                <w:tcPr>
                  <w:tcW w:w="1698"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化学伤害</w:t>
                  </w:r>
                </w:p>
              </w:tc>
              <w:tc>
                <w:tcPr>
                  <w:tcW w:w="4957" w:type="dxa"/>
                </w:tcPr>
                <w:p>
                  <w:pPr>
                    <w:jc w:val="left"/>
                  </w:pPr>
                  <w:r>
                    <w:rPr>
                      <w:rFonts w:hint="eastAsia"/>
                    </w:rPr>
                    <w:t>□设置围堰  □排风系统 □穿戴劳保用品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噪声</w:t>
                  </w:r>
                </w:p>
              </w:tc>
              <w:tc>
                <w:tcPr>
                  <w:tcW w:w="4957" w:type="dxa"/>
                </w:tcPr>
                <w:p>
                  <w:pPr>
                    <w:jc w:val="left"/>
                  </w:pPr>
                  <w:r>
                    <w:rPr>
                      <w:rFonts w:hint="eastAsia"/>
                    </w:rPr>
                    <w:t>□空间隔离  □穿戴劳保用品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压力容器爆炸</w:t>
                  </w:r>
                </w:p>
              </w:tc>
              <w:tc>
                <w:tcPr>
                  <w:tcW w:w="4957" w:type="dxa"/>
                </w:tcPr>
                <w:p>
                  <w:pPr>
                    <w:jc w:val="left"/>
                  </w:pPr>
                  <w:r>
                    <w:rPr>
                      <w:rFonts w:hint="eastAsia"/>
                    </w:rPr>
                    <w:t xml:space="preserve">□定期检测  □压力巡视 </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高低温</w:t>
                  </w:r>
                </w:p>
              </w:tc>
              <w:tc>
                <w:tcPr>
                  <w:tcW w:w="4957" w:type="dxa"/>
                </w:tcPr>
                <w:p>
                  <w:pPr>
                    <w:jc w:val="left"/>
                  </w:pPr>
                  <w:r>
                    <w:rPr>
                      <w:rFonts w:hint="eastAsia"/>
                    </w:rPr>
                    <w:t>□减少作业时间  □空间隔离  □防暑降温用品</w:t>
                  </w:r>
                </w:p>
              </w:tc>
              <w:tc>
                <w:tcPr>
                  <w:tcW w:w="1698"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火灾</w:t>
                  </w:r>
                </w:p>
              </w:tc>
              <w:tc>
                <w:tcPr>
                  <w:tcW w:w="4957" w:type="dxa"/>
                </w:tcPr>
                <w:p>
                  <w:pPr>
                    <w:jc w:val="left"/>
                    <w:rPr>
                      <w:rFonts w:hint="default" w:eastAsia="宋体"/>
                      <w:lang w:val="en-US" w:eastAsia="zh-CN"/>
                    </w:rPr>
                  </w:pPr>
                  <w:r>
                    <w:rPr>
                      <w:rFonts w:hint="eastAsia"/>
                      <w:lang w:val="en-US" w:eastAsia="zh-CN"/>
                    </w:rPr>
                    <w:t>制定管理方案，应急预案并演练</w:t>
                  </w:r>
                </w:p>
              </w:tc>
              <w:tc>
                <w:tcPr>
                  <w:tcW w:w="1698"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物理伤害；食物中毒；人员摔伤；人员烫伤；意外伤害</w:t>
                  </w:r>
                </w:p>
              </w:tc>
              <w:tc>
                <w:tcPr>
                  <w:tcW w:w="4957" w:type="dxa"/>
                </w:tcPr>
                <w:p>
                  <w:pPr>
                    <w:jc w:val="left"/>
                  </w:pPr>
                  <w:r>
                    <w:rPr>
                      <w:rFonts w:hint="eastAsia"/>
                      <w:lang w:val="en-US" w:eastAsia="zh-CN"/>
                    </w:rPr>
                    <w:t>制定管理方案，应急预案</w:t>
                  </w:r>
                </w:p>
              </w:tc>
              <w:tc>
                <w:tcPr>
                  <w:tcW w:w="1698" w:type="dxa"/>
                </w:tcPr>
                <w:p>
                  <w:pPr>
                    <w:jc w:val="left"/>
                  </w:pPr>
                  <w:r>
                    <w:rPr>
                      <w:rFonts w:hint="eastAsia"/>
                      <w:lang w:val="en-US" w:eastAsia="zh-CN"/>
                    </w:rPr>
                    <w:t>有效</w:t>
                  </w: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cs="Times New Roman"/>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电梯、锅炉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ascii="Wingdings" w:hAnsi="Wingdings"/>
                <w:lang w:eastAsia="zh-CN"/>
              </w:rPr>
              <w:t>□</w:t>
            </w:r>
            <w:r>
              <w:rPr>
                <w:rFonts w:hint="eastAsia" w:eastAsia="宋体"/>
              </w:rPr>
              <w:t xml:space="preserve">最终处置 </w:t>
            </w:r>
            <w:r>
              <w:rPr>
                <w:rFonts w:hint="eastAsia" w:ascii="Wingdings" w:hAnsi="Wingdings"/>
                <w:lang w:eastAsia="zh-CN"/>
              </w:rPr>
              <w:t>□</w:t>
            </w:r>
            <w:r>
              <w:rPr>
                <w:rFonts w:hint="eastAsia" w:eastAsia="宋体"/>
              </w:rPr>
              <w:t>其他</w:t>
            </w:r>
          </w:p>
          <w:p>
            <w:r>
              <w:rPr>
                <w:rFonts w:hint="eastAsia" w:eastAsia="宋体"/>
              </w:rPr>
              <w:t>交付后活动：</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color w:val="000000"/>
                <w:highlight w:val="none"/>
                <w:u w:val="single"/>
                <w:lang w:val="en-US" w:eastAsia="zh-CN"/>
              </w:rPr>
              <w:t>于</w:t>
            </w:r>
            <w:r>
              <w:rPr>
                <w:rFonts w:hint="eastAsia" w:ascii="Times New Roman" w:hAnsi="Times New Roman" w:eastAsia="宋体" w:cs="Times New Roman"/>
                <w:color w:val="000000"/>
                <w:highlight w:val="none"/>
                <w:u w:val="single"/>
              </w:rPr>
              <w:t>2021年</w:t>
            </w:r>
            <w:r>
              <w:rPr>
                <w:rFonts w:hint="eastAsia" w:cs="Times New Roman"/>
                <w:color w:val="000000"/>
                <w:highlight w:val="none"/>
                <w:u w:val="single"/>
                <w:lang w:val="en-US" w:eastAsia="zh-CN"/>
              </w:rPr>
              <w:t>6</w:t>
            </w:r>
            <w:r>
              <w:rPr>
                <w:rFonts w:hint="eastAsia" w:ascii="Times New Roman" w:hAnsi="Times New Roman" w:eastAsia="宋体" w:cs="Times New Roman"/>
                <w:color w:val="000000"/>
                <w:highlight w:val="none"/>
                <w:u w:val="single"/>
              </w:rPr>
              <w:t>月1</w:t>
            </w:r>
            <w:r>
              <w:rPr>
                <w:rFonts w:hint="eastAsia" w:cs="Times New Roman"/>
                <w:color w:val="000000"/>
                <w:highlight w:val="none"/>
                <w:u w:val="single"/>
                <w:lang w:val="en-US" w:eastAsia="zh-CN"/>
              </w:rPr>
              <w:t>5</w:t>
            </w:r>
            <w:r>
              <w:rPr>
                <w:rFonts w:hint="eastAsia" w:ascii="Times New Roman" w:hAnsi="Times New Roman" w:eastAsia="宋体" w:cs="Times New Roman"/>
                <w:color w:val="000000"/>
                <w:highlight w:val="none"/>
                <w:u w:val="single"/>
              </w:rPr>
              <w:t>日</w:t>
            </w:r>
            <w:r>
              <w:rPr>
                <w:rFonts w:hint="eastAsia" w:ascii="Times New Roman" w:hAnsi="Times New Roman" w:eastAsia="宋体" w:cs="Times New Roman"/>
                <w:color w:val="000000"/>
                <w:highlight w:val="none"/>
                <w:u w:val="single"/>
                <w:lang w:val="en-US" w:eastAsia="zh-CN"/>
              </w:rPr>
              <w:t>进行了</w:t>
            </w:r>
            <w:r>
              <w:rPr>
                <w:rFonts w:hint="eastAsia" w:cs="Times New Roman"/>
                <w:color w:val="000000"/>
                <w:highlight w:val="none"/>
                <w:u w:val="single"/>
                <w:lang w:val="en-US" w:eastAsia="zh-CN"/>
              </w:rPr>
              <w:t>消防火灾</w:t>
            </w:r>
            <w:r>
              <w:rPr>
                <w:rFonts w:hint="eastAsia" w:ascii="Times New Roman" w:hAnsi="Times New Roman" w:eastAsia="宋体" w:cs="Times New Roman"/>
                <w:color w:val="000000"/>
                <w:highlight w:val="none"/>
                <w:u w:val="single"/>
              </w:rPr>
              <w:t>演习</w:t>
            </w:r>
            <w:r>
              <w:rPr>
                <w:rFonts w:hint="eastAsia" w:cs="Times New Roman"/>
                <w:color w:val="000000"/>
                <w:highlight w:val="none"/>
                <w:u w:val="single"/>
                <w:lang w:eastAsia="zh-CN"/>
              </w:rPr>
              <w:t>，</w:t>
            </w:r>
            <w:r>
              <w:rPr>
                <w:rFonts w:hint="eastAsia" w:cs="Times New Roman"/>
                <w:color w:val="000000"/>
                <w:highlight w:val="none"/>
                <w:u w:val="single"/>
                <w:lang w:val="en-US" w:eastAsia="zh-CN"/>
              </w:rPr>
              <w:t>6月6日进行了触电应急演练</w:t>
            </w:r>
            <w:r>
              <w:rPr>
                <w:rFonts w:hint="eastAsia" w:eastAsia="宋体"/>
              </w:rPr>
              <w:t xml:space="preserve">；并总结了预案的可行性和有效性。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pPr>
              <w:rPr>
                <w:rFonts w:hint="eastAsia" w:ascii="Times New Roman" w:hAnsi="Times New Roman" w:eastAsia="宋体" w:cs="Times New Roman"/>
                <w:highlight w:val="none"/>
              </w:rPr>
            </w:pPr>
            <w:r>
              <w:rPr>
                <w:rFonts w:hint="eastAsia"/>
              </w:rPr>
              <w:t>组织已建立、实</w:t>
            </w:r>
            <w:r>
              <w:rPr>
                <w:rFonts w:hint="eastAsia" w:ascii="Times New Roman" w:hAnsi="Times New Roman" w:eastAsia="宋体" w:cs="Times New Roman"/>
              </w:rPr>
              <w:t>施并保</w:t>
            </w:r>
            <w:r>
              <w:rPr>
                <w:rFonts w:hint="eastAsia" w:ascii="Times New Roman" w:hAnsi="Times New Roman" w:eastAsia="宋体" w:cs="Times New Roman"/>
                <w:highlight w:val="none"/>
              </w:rPr>
              <w:t>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highlight w:val="none"/>
                <w:u w:val="single"/>
              </w:rPr>
              <w:t>20</w:t>
            </w:r>
            <w:r>
              <w:rPr>
                <w:rFonts w:hint="eastAsia"/>
                <w:highlight w:val="none"/>
                <w:u w:val="single"/>
                <w:lang w:val="en-US" w:eastAsia="zh-CN"/>
              </w:rPr>
              <w:t>21</w:t>
            </w:r>
            <w:r>
              <w:rPr>
                <w:rFonts w:hint="eastAsia"/>
                <w:highlight w:val="none"/>
                <w:u w:val="single"/>
              </w:rPr>
              <w:t>年</w:t>
            </w:r>
            <w:r>
              <w:rPr>
                <w:rFonts w:hint="eastAsia"/>
                <w:highlight w:val="none"/>
                <w:u w:val="single"/>
                <w:lang w:val="en-US" w:eastAsia="zh-CN"/>
              </w:rPr>
              <w:t>6</w:t>
            </w:r>
            <w:r>
              <w:rPr>
                <w:rFonts w:hint="eastAsia"/>
                <w:highlight w:val="none"/>
                <w:u w:val="single"/>
              </w:rPr>
              <w:t>月</w:t>
            </w:r>
            <w:r>
              <w:rPr>
                <w:rFonts w:hint="eastAsia"/>
                <w:highlight w:val="none"/>
                <w:u w:val="single"/>
                <w:lang w:val="en-US" w:eastAsia="zh-CN"/>
              </w:rPr>
              <w:t>10</w:t>
            </w:r>
            <w:r>
              <w:rPr>
                <w:rFonts w:hint="eastAsia"/>
                <w:highlight w:val="none"/>
                <w:u w:val="single"/>
              </w:rPr>
              <w:t>日</w:t>
            </w:r>
          </w:p>
          <w:p>
            <w:r>
              <w:rPr>
                <w:rFonts w:hint="eastAsia" w:ascii="Times New Roman" w:hAnsi="Times New Roman" w:eastAsia="宋体" w:cs="Times New Roman"/>
                <w:lang w:eastAsia="zh-CN"/>
              </w:rPr>
              <w:t>□</w:t>
            </w:r>
            <w:r>
              <w:rPr>
                <w:rFonts w:hint="eastAsia" w:ascii="Times New Roman" w:hAnsi="Times New Roman" w:eastAsia="宋体" w:cs="Times New Roman"/>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Times New Roman" w:hAnsi="Times New Roman" w:eastAsia="宋体" w:cs="Times New Roman"/>
                <w:color w:val="000000"/>
                <w:szCs w:val="18"/>
                <w:u w:val="single"/>
                <w:lang w:val="en-US" w:eastAsia="zh-CN"/>
              </w:rPr>
              <w:t>2021年7月11日至7月12日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highlight w:val="none"/>
              </w:rPr>
              <w:t>，在</w:t>
            </w:r>
            <w:r>
              <w:rPr>
                <w:rFonts w:hint="eastAsia"/>
                <w:color w:val="000000"/>
                <w:szCs w:val="18"/>
                <w:u w:val="single"/>
                <w:lang w:val="en-US" w:eastAsia="zh-CN"/>
              </w:rPr>
              <w:t>2021</w:t>
            </w:r>
            <w:r>
              <w:rPr>
                <w:rFonts w:hint="eastAsia"/>
                <w:color w:val="000000"/>
                <w:szCs w:val="18"/>
              </w:rPr>
              <w:t>年</w:t>
            </w:r>
            <w:r>
              <w:rPr>
                <w:rFonts w:hint="eastAsia"/>
                <w:color w:val="000000"/>
                <w:szCs w:val="18"/>
                <w:u w:val="single"/>
                <w:lang w:val="en-US" w:eastAsia="zh-CN"/>
              </w:rPr>
              <w:t>7</w:t>
            </w:r>
            <w:r>
              <w:rPr>
                <w:color w:val="000000"/>
                <w:szCs w:val="18"/>
                <w:u w:val="single"/>
              </w:rPr>
              <w:t xml:space="preserve"> </w:t>
            </w:r>
            <w:r>
              <w:rPr>
                <w:rFonts w:hint="eastAsia"/>
                <w:color w:val="000000"/>
                <w:szCs w:val="18"/>
              </w:rPr>
              <w:t>月</w:t>
            </w:r>
            <w:r>
              <w:rPr>
                <w:rFonts w:hint="eastAsia"/>
                <w:color w:val="000000"/>
                <w:szCs w:val="18"/>
                <w:u w:val="single"/>
                <w:lang w:val="en-US" w:eastAsia="zh-CN"/>
              </w:rPr>
              <w:t>30</w:t>
            </w:r>
            <w:r>
              <w:rPr>
                <w:color w:val="000000"/>
                <w:szCs w:val="18"/>
                <w:u w:val="single"/>
              </w:rPr>
              <w:t xml:space="preserve"> </w:t>
            </w:r>
            <w:r>
              <w:rPr>
                <w:rFonts w:hint="eastAsia"/>
                <w:color w:val="000000"/>
                <w:szCs w:val="18"/>
              </w:rPr>
              <w:t>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华文宋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6A23DFA"/>
    <w:rsid w:val="08C75600"/>
    <w:rsid w:val="0C677E21"/>
    <w:rsid w:val="0F193B3C"/>
    <w:rsid w:val="177D628C"/>
    <w:rsid w:val="1CCA7BC7"/>
    <w:rsid w:val="2A6D482F"/>
    <w:rsid w:val="2B8C284B"/>
    <w:rsid w:val="2D0A0C14"/>
    <w:rsid w:val="336B7473"/>
    <w:rsid w:val="336F2234"/>
    <w:rsid w:val="3CEF7BE3"/>
    <w:rsid w:val="461126FE"/>
    <w:rsid w:val="480533C3"/>
    <w:rsid w:val="49C01510"/>
    <w:rsid w:val="4A6436A3"/>
    <w:rsid w:val="4B003FD4"/>
    <w:rsid w:val="4E9763CC"/>
    <w:rsid w:val="5276613A"/>
    <w:rsid w:val="60812B24"/>
    <w:rsid w:val="61CD69D9"/>
    <w:rsid w:val="64A821CE"/>
    <w:rsid w:val="666E3D50"/>
    <w:rsid w:val="67150038"/>
    <w:rsid w:val="68EA655F"/>
    <w:rsid w:val="6D1D2424"/>
    <w:rsid w:val="76863CAA"/>
    <w:rsid w:val="7A140DBE"/>
    <w:rsid w:val="7A895A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1</TotalTime>
  <ScaleCrop>false</ScaleCrop>
  <LinksUpToDate>false</LinksUpToDate>
  <CharactersWithSpaces>21158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2021-09-24T06:34:04Z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