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r>
        <w:rPr>
          <w:b/>
          <w:sz w:val="21"/>
          <w:szCs w:val="21"/>
        </w:rPr>
        <w:t xml:space="preserve"> </w:t>
      </w:r>
      <w:r>
        <w:rPr>
          <w:rFonts w:hint="eastAsia" w:ascii="宋体" w:hAnsi="宋体"/>
          <w:sz w:val="24"/>
          <w:szCs w:val="22"/>
        </w:rPr>
        <w:t>编  号：</w:t>
      </w:r>
      <w:bookmarkStart w:id="0" w:name="合同编号"/>
      <w:r>
        <w:rPr>
          <w:sz w:val="20"/>
        </w:rPr>
        <w:t>0109-2018-Q-2020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受审核方：成都迈思信息技术有限公司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37"/>
        <w:gridCol w:w="1350"/>
        <w:gridCol w:w="2340"/>
        <w:gridCol w:w="60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37" w:type="dxa"/>
            <w:vAlign w:val="center"/>
          </w:tcPr>
          <w:p>
            <w:pPr>
              <w:jc w:val="center"/>
              <w:rPr>
                <w:b/>
                <w:sz w:val="21"/>
                <w:szCs w:val="21"/>
              </w:rPr>
            </w:pPr>
            <w:r>
              <w:rPr>
                <w:rFonts w:hint="eastAsia"/>
                <w:b/>
                <w:sz w:val="21"/>
                <w:szCs w:val="21"/>
              </w:rPr>
              <w:t>职务</w:t>
            </w:r>
          </w:p>
        </w:tc>
        <w:tc>
          <w:tcPr>
            <w:tcW w:w="1350" w:type="dxa"/>
            <w:vAlign w:val="center"/>
          </w:tcPr>
          <w:p>
            <w:pPr>
              <w:jc w:val="center"/>
              <w:rPr>
                <w:b/>
                <w:sz w:val="21"/>
                <w:szCs w:val="21"/>
              </w:rPr>
            </w:pPr>
            <w:r>
              <w:rPr>
                <w:rFonts w:hint="eastAsia"/>
                <w:b/>
                <w:sz w:val="21"/>
                <w:szCs w:val="21"/>
              </w:rPr>
              <w:t>注册级别</w:t>
            </w:r>
          </w:p>
        </w:tc>
        <w:tc>
          <w:tcPr>
            <w:tcW w:w="2340" w:type="dxa"/>
            <w:vAlign w:val="center"/>
          </w:tcPr>
          <w:p>
            <w:pPr>
              <w:jc w:val="center"/>
              <w:rPr>
                <w:b/>
                <w:sz w:val="21"/>
                <w:szCs w:val="21"/>
              </w:rPr>
            </w:pPr>
            <w:r>
              <w:rPr>
                <w:rFonts w:hint="eastAsia"/>
                <w:b/>
                <w:sz w:val="21"/>
                <w:szCs w:val="21"/>
              </w:rPr>
              <w:t>审核员注册号</w:t>
            </w:r>
          </w:p>
        </w:tc>
        <w:tc>
          <w:tcPr>
            <w:tcW w:w="133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237" w:type="dxa"/>
            <w:vAlign w:val="center"/>
          </w:tcPr>
          <w:p>
            <w:pPr>
              <w:jc w:val="center"/>
              <w:rPr>
                <w:b/>
                <w:sz w:val="21"/>
                <w:szCs w:val="21"/>
              </w:rPr>
            </w:pPr>
            <w:r>
              <w:rPr>
                <w:b/>
                <w:sz w:val="21"/>
                <w:szCs w:val="21"/>
              </w:rPr>
              <w:t>组长</w:t>
            </w:r>
          </w:p>
        </w:tc>
        <w:tc>
          <w:tcPr>
            <w:tcW w:w="1350" w:type="dxa"/>
            <w:vAlign w:val="center"/>
          </w:tcPr>
          <w:p>
            <w:pPr>
              <w:jc w:val="center"/>
              <w:rPr>
                <w:b/>
                <w:sz w:val="21"/>
                <w:szCs w:val="21"/>
              </w:rPr>
            </w:pPr>
            <w:r>
              <w:rPr>
                <w:b/>
                <w:sz w:val="21"/>
                <w:szCs w:val="21"/>
              </w:rPr>
              <w:t>审核员</w:t>
            </w:r>
          </w:p>
        </w:tc>
        <w:tc>
          <w:tcPr>
            <w:tcW w:w="2340" w:type="dxa"/>
            <w:vAlign w:val="center"/>
          </w:tcPr>
          <w:p>
            <w:pPr>
              <w:jc w:val="center"/>
              <w:rPr>
                <w:b/>
                <w:sz w:val="21"/>
                <w:szCs w:val="21"/>
              </w:rPr>
            </w:pPr>
            <w:r>
              <w:rPr>
                <w:b/>
                <w:sz w:val="21"/>
                <w:szCs w:val="21"/>
              </w:rPr>
              <w:t>2018-N1QMS-2207381</w:t>
            </w:r>
          </w:p>
        </w:tc>
        <w:tc>
          <w:tcPr>
            <w:tcW w:w="1336" w:type="dxa"/>
            <w:gridSpan w:val="2"/>
            <w:vAlign w:val="center"/>
          </w:tcPr>
          <w:p>
            <w:pPr>
              <w:jc w:val="center"/>
              <w:rPr>
                <w:b/>
                <w:sz w:val="21"/>
                <w:szCs w:val="21"/>
              </w:rPr>
            </w:pPr>
            <w:r>
              <w:rPr>
                <w:b/>
                <w:sz w:val="21"/>
                <w:szCs w:val="21"/>
              </w:rPr>
              <w:t>33.02.01</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237" w:type="dxa"/>
          </w:tcPr>
          <w:p>
            <w:pPr>
              <w:rPr>
                <w:b/>
                <w:sz w:val="21"/>
                <w:szCs w:val="21"/>
              </w:rPr>
            </w:pPr>
          </w:p>
        </w:tc>
        <w:tc>
          <w:tcPr>
            <w:tcW w:w="1350" w:type="dxa"/>
          </w:tcPr>
          <w:p>
            <w:pPr>
              <w:rPr>
                <w:b/>
                <w:sz w:val="21"/>
                <w:szCs w:val="21"/>
              </w:rPr>
            </w:pPr>
          </w:p>
        </w:tc>
        <w:tc>
          <w:tcPr>
            <w:tcW w:w="2340" w:type="dxa"/>
          </w:tcPr>
          <w:p>
            <w:pPr>
              <w:rPr>
                <w:b/>
                <w:sz w:val="21"/>
                <w:szCs w:val="21"/>
              </w:rPr>
            </w:pPr>
          </w:p>
        </w:tc>
        <w:tc>
          <w:tcPr>
            <w:tcW w:w="133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237" w:type="dxa"/>
          </w:tcPr>
          <w:p>
            <w:pPr>
              <w:rPr>
                <w:b/>
                <w:sz w:val="21"/>
                <w:szCs w:val="21"/>
              </w:rPr>
            </w:pPr>
          </w:p>
        </w:tc>
        <w:tc>
          <w:tcPr>
            <w:tcW w:w="1350" w:type="dxa"/>
          </w:tcPr>
          <w:p>
            <w:pPr>
              <w:rPr>
                <w:b/>
                <w:sz w:val="21"/>
                <w:szCs w:val="21"/>
              </w:rPr>
            </w:pPr>
          </w:p>
        </w:tc>
        <w:tc>
          <w:tcPr>
            <w:tcW w:w="2340" w:type="dxa"/>
          </w:tcPr>
          <w:p>
            <w:pPr>
              <w:rPr>
                <w:b/>
                <w:sz w:val="21"/>
                <w:szCs w:val="21"/>
              </w:rPr>
            </w:pPr>
          </w:p>
        </w:tc>
        <w:tc>
          <w:tcPr>
            <w:tcW w:w="133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237" w:type="dxa"/>
          </w:tcPr>
          <w:p>
            <w:pPr>
              <w:rPr>
                <w:b/>
                <w:sz w:val="21"/>
                <w:szCs w:val="21"/>
              </w:rPr>
            </w:pPr>
          </w:p>
        </w:tc>
        <w:tc>
          <w:tcPr>
            <w:tcW w:w="1350" w:type="dxa"/>
          </w:tcPr>
          <w:p>
            <w:pPr>
              <w:rPr>
                <w:b/>
                <w:sz w:val="21"/>
                <w:szCs w:val="21"/>
              </w:rPr>
            </w:pPr>
          </w:p>
        </w:tc>
        <w:tc>
          <w:tcPr>
            <w:tcW w:w="2340" w:type="dxa"/>
          </w:tcPr>
          <w:p>
            <w:pPr>
              <w:rPr>
                <w:b/>
                <w:sz w:val="21"/>
                <w:szCs w:val="21"/>
              </w:rPr>
            </w:pPr>
          </w:p>
        </w:tc>
        <w:tc>
          <w:tcPr>
            <w:tcW w:w="133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37" w:type="dxa"/>
            <w:vAlign w:val="center"/>
          </w:tcPr>
          <w:p>
            <w:pPr>
              <w:jc w:val="center"/>
              <w:rPr>
                <w:b/>
                <w:sz w:val="21"/>
                <w:szCs w:val="21"/>
              </w:rPr>
            </w:pPr>
            <w:r>
              <w:rPr>
                <w:rFonts w:hint="eastAsia"/>
                <w:b/>
                <w:sz w:val="21"/>
                <w:szCs w:val="21"/>
              </w:rPr>
              <w:t>角色</w:t>
            </w:r>
          </w:p>
        </w:tc>
        <w:tc>
          <w:tcPr>
            <w:tcW w:w="6755"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237" w:type="dxa"/>
            <w:vAlign w:val="center"/>
          </w:tcPr>
          <w:p>
            <w:pPr>
              <w:jc w:val="center"/>
              <w:rPr>
                <w:b/>
                <w:sz w:val="21"/>
                <w:szCs w:val="21"/>
              </w:rPr>
            </w:pPr>
          </w:p>
        </w:tc>
        <w:tc>
          <w:tcPr>
            <w:tcW w:w="6755"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37" w:type="dxa"/>
            <w:vAlign w:val="center"/>
          </w:tcPr>
          <w:p>
            <w:pPr>
              <w:jc w:val="center"/>
              <w:rPr>
                <w:b/>
              </w:rPr>
            </w:pPr>
          </w:p>
        </w:tc>
        <w:tc>
          <w:tcPr>
            <w:tcW w:w="6755"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37" w:type="dxa"/>
            <w:vAlign w:val="center"/>
          </w:tcPr>
          <w:p>
            <w:pPr>
              <w:jc w:val="center"/>
              <w:rPr>
                <w:b/>
              </w:rPr>
            </w:pPr>
          </w:p>
        </w:tc>
        <w:tc>
          <w:tcPr>
            <w:tcW w:w="6755" w:type="dxa"/>
            <w:gridSpan w:val="6"/>
            <w:vAlign w:val="center"/>
          </w:tcPr>
          <w:p>
            <w:pPr>
              <w:rPr>
                <w:b/>
              </w:rPr>
            </w:pPr>
          </w:p>
        </w:tc>
      </w:tr>
    </w:tbl>
    <w:p>
      <w:pPr>
        <w:ind w:firstLine="522" w:firstLineChars="200"/>
        <w:rPr>
          <w:rFonts w:asci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997"/>
        <w:gridCol w:w="129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95" w:type="dxa"/>
            <w:gridSpan w:val="3"/>
          </w:tcPr>
          <w:p>
            <w:pPr>
              <w:spacing w:line="260" w:lineRule="exact"/>
              <w:rPr>
                <w:rFonts w:ascii="宋体"/>
                <w:b/>
                <w:color w:val="FF0000"/>
                <w:sz w:val="21"/>
              </w:rPr>
            </w:pPr>
            <w:bookmarkStart w:id="11" w:name="组织名称Add"/>
            <w:r>
              <w:rPr>
                <w:rFonts w:hint="eastAsia" w:ascii="宋体" w:hAnsi="宋体"/>
                <w:b/>
                <w:sz w:val="21"/>
                <w:szCs w:val="22"/>
              </w:rPr>
              <w:t>成都迈思信息技术有限公司</w:t>
            </w:r>
            <w:bookmarkEnd w:id="11"/>
          </w:p>
        </w:tc>
        <w:tc>
          <w:tcPr>
            <w:tcW w:w="129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632" w:type="dxa"/>
          </w:tcPr>
          <w:p>
            <w:pPr>
              <w:spacing w:line="260" w:lineRule="exact"/>
              <w:rPr>
                <w:rFonts w:hint="eastAsia" w:ascii="宋体" w:eastAsia="宋体"/>
                <w:b/>
                <w:sz w:val="21"/>
                <w:lang w:val="en-US" w:eastAsia="zh-CN"/>
              </w:rPr>
            </w:pPr>
            <w:r>
              <w:rPr>
                <w:rFonts w:hint="eastAsia" w:ascii="宋体"/>
                <w:b/>
                <w:sz w:val="21"/>
                <w:lang w:val="en-US" w:eastAsia="zh-CN"/>
              </w:rPr>
              <w:t>25(提供人数说明）见附件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795" w:type="dxa"/>
            <w:gridSpan w:val="3"/>
          </w:tcPr>
          <w:p>
            <w:pPr>
              <w:rPr>
                <w:rFonts w:ascii="宋体"/>
                <w:b/>
                <w:sz w:val="21"/>
              </w:rPr>
            </w:pPr>
            <w:bookmarkStart w:id="12" w:name="注册地址"/>
            <w:r>
              <w:rPr>
                <w:rFonts w:ascii="宋体"/>
                <w:b/>
                <w:sz w:val="21"/>
              </w:rPr>
              <w:t>成都高新区世纪城南路599号天府软件园7栋3层</w:t>
            </w:r>
            <w:bookmarkEnd w:id="12"/>
          </w:p>
        </w:tc>
        <w:tc>
          <w:tcPr>
            <w:tcW w:w="1293" w:type="dxa"/>
            <w:vMerge w:val="restart"/>
            <w:vAlign w:val="center"/>
          </w:tcPr>
          <w:p>
            <w:pPr>
              <w:jc w:val="center"/>
              <w:rPr>
                <w:rFonts w:ascii="宋体"/>
                <w:b/>
                <w:sz w:val="21"/>
              </w:rPr>
            </w:pPr>
            <w:r>
              <w:rPr>
                <w:rFonts w:hint="eastAsia" w:ascii="宋体" w:hAnsi="宋体"/>
                <w:b/>
                <w:sz w:val="21"/>
              </w:rPr>
              <w:t>邮编</w:t>
            </w:r>
          </w:p>
        </w:tc>
        <w:tc>
          <w:tcPr>
            <w:tcW w:w="1632" w:type="dxa"/>
          </w:tcPr>
          <w:p>
            <w:pPr>
              <w:rPr>
                <w:rFonts w:ascii="宋体"/>
                <w:b/>
                <w:sz w:val="21"/>
              </w:rPr>
            </w:pPr>
            <w:bookmarkStart w:id="13" w:name="注册邮编"/>
            <w:r>
              <w:rPr>
                <w:rFonts w:ascii="宋体"/>
                <w:b/>
                <w:sz w:val="21"/>
              </w:rPr>
              <w:t>610041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795" w:type="dxa"/>
            <w:gridSpan w:val="3"/>
          </w:tcPr>
          <w:p>
            <w:pPr>
              <w:rPr>
                <w:rFonts w:ascii="宋体"/>
                <w:b/>
                <w:sz w:val="21"/>
              </w:rPr>
            </w:pPr>
            <w:bookmarkStart w:id="14" w:name="办公地址"/>
            <w:r>
              <w:rPr>
                <w:rFonts w:ascii="宋体"/>
                <w:b/>
                <w:sz w:val="21"/>
              </w:rPr>
              <w:t>成都高新区世纪城南路599号天府软件园7栋3层</w:t>
            </w:r>
            <w:bookmarkEnd w:id="14"/>
          </w:p>
        </w:tc>
        <w:tc>
          <w:tcPr>
            <w:tcW w:w="1293" w:type="dxa"/>
            <w:vMerge w:val="continue"/>
            <w:vAlign w:val="center"/>
          </w:tcPr>
          <w:p>
            <w:pPr>
              <w:jc w:val="center"/>
              <w:rPr>
                <w:rFonts w:ascii="宋体"/>
                <w:b/>
                <w:sz w:val="21"/>
              </w:rPr>
            </w:pPr>
          </w:p>
        </w:tc>
        <w:tc>
          <w:tcPr>
            <w:tcW w:w="1632" w:type="dxa"/>
          </w:tcPr>
          <w:p>
            <w:pPr>
              <w:rPr>
                <w:rFonts w:ascii="宋体"/>
                <w:b/>
                <w:sz w:val="21"/>
              </w:rPr>
            </w:pPr>
            <w:bookmarkStart w:id="15" w:name="办公邮编"/>
            <w:r>
              <w:rPr>
                <w:rFonts w:ascii="宋体"/>
                <w:b/>
                <w:sz w:val="21"/>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95" w:type="dxa"/>
            <w:gridSpan w:val="3"/>
          </w:tcPr>
          <w:p>
            <w:pPr>
              <w:rPr>
                <w:rFonts w:ascii="宋体"/>
                <w:b/>
                <w:sz w:val="21"/>
              </w:rPr>
            </w:pPr>
            <w:bookmarkStart w:id="16" w:name="生产地址Add"/>
            <w:r>
              <w:rPr>
                <w:rFonts w:ascii="宋体"/>
                <w:b/>
                <w:sz w:val="21"/>
              </w:rPr>
              <w:t>成都高新区世纪城南路599号天府软件园7栋3层</w:t>
            </w:r>
            <w:bookmarkEnd w:id="16"/>
          </w:p>
        </w:tc>
        <w:tc>
          <w:tcPr>
            <w:tcW w:w="1293" w:type="dxa"/>
            <w:vMerge w:val="continue"/>
            <w:vAlign w:val="center"/>
          </w:tcPr>
          <w:p>
            <w:pPr>
              <w:jc w:val="center"/>
              <w:rPr>
                <w:rFonts w:ascii="宋体"/>
                <w:b/>
                <w:sz w:val="21"/>
              </w:rPr>
            </w:pPr>
          </w:p>
        </w:tc>
        <w:tc>
          <w:tcPr>
            <w:tcW w:w="1632" w:type="dxa"/>
          </w:tcPr>
          <w:p>
            <w:pPr>
              <w:rPr>
                <w:rFonts w:ascii="宋体"/>
                <w:b/>
                <w:sz w:val="21"/>
              </w:rPr>
            </w:pPr>
            <w:bookmarkStart w:id="17" w:name="生产邮编"/>
            <w:r>
              <w:rPr>
                <w:rFonts w:ascii="宋体"/>
                <w:b/>
                <w:sz w:val="21"/>
              </w:rPr>
              <w:t>610041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胡俊</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997" w:type="dxa"/>
            <w:vAlign w:val="center"/>
          </w:tcPr>
          <w:p>
            <w:pPr>
              <w:jc w:val="center"/>
              <w:rPr>
                <w:rFonts w:ascii="宋体"/>
                <w:b/>
                <w:sz w:val="21"/>
              </w:rPr>
            </w:pPr>
            <w:bookmarkStart w:id="19" w:name="联系人电话Add"/>
            <w:r>
              <w:rPr>
                <w:rFonts w:ascii="宋体"/>
                <w:b/>
                <w:sz w:val="21"/>
              </w:rPr>
              <w:t>028-85939206</w:t>
            </w:r>
            <w:bookmarkEnd w:id="19"/>
          </w:p>
        </w:tc>
        <w:tc>
          <w:tcPr>
            <w:tcW w:w="1293" w:type="dxa"/>
            <w:vAlign w:val="center"/>
          </w:tcPr>
          <w:p>
            <w:pPr>
              <w:jc w:val="center"/>
              <w:rPr>
                <w:rFonts w:ascii="宋体"/>
                <w:b/>
                <w:sz w:val="21"/>
              </w:rPr>
            </w:pPr>
            <w:r>
              <w:rPr>
                <w:rFonts w:hint="eastAsia" w:ascii="宋体" w:hAnsi="宋体"/>
                <w:b/>
                <w:sz w:val="21"/>
              </w:rPr>
              <w:t>传真</w:t>
            </w:r>
          </w:p>
        </w:tc>
        <w:tc>
          <w:tcPr>
            <w:tcW w:w="1632"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胡壹</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997" w:type="dxa"/>
          </w:tcPr>
          <w:p>
            <w:pPr>
              <w:rPr>
                <w:rFonts w:ascii="宋体" w:hAnsi="宋体"/>
                <w:b/>
                <w:sz w:val="21"/>
                <w:szCs w:val="21"/>
              </w:rPr>
            </w:pPr>
          </w:p>
        </w:tc>
        <w:tc>
          <w:tcPr>
            <w:tcW w:w="1293" w:type="dxa"/>
            <w:vAlign w:val="center"/>
          </w:tcPr>
          <w:p>
            <w:pPr>
              <w:jc w:val="center"/>
              <w:rPr>
                <w:rFonts w:ascii="宋体" w:hAnsi="宋体"/>
                <w:b/>
                <w:sz w:val="21"/>
                <w:szCs w:val="21"/>
              </w:rPr>
            </w:pPr>
            <w:r>
              <w:rPr>
                <w:rFonts w:hint="eastAsia" w:ascii="宋体" w:hAnsi="宋体"/>
                <w:b/>
                <w:sz w:val="21"/>
                <w:szCs w:val="21"/>
              </w:rPr>
              <w:t>管理者代表</w:t>
            </w:r>
          </w:p>
        </w:tc>
        <w:tc>
          <w:tcPr>
            <w:tcW w:w="1632" w:type="dxa"/>
          </w:tcPr>
          <w:p>
            <w:pPr>
              <w:rPr>
                <w:rFonts w:ascii="宋体"/>
                <w:b/>
                <w:sz w:val="21"/>
              </w:rPr>
            </w:pPr>
            <w:bookmarkStart w:id="22" w:name="管理者代表"/>
            <w:r>
              <w:rPr>
                <w:rFonts w:ascii="宋体"/>
                <w:b/>
                <w:sz w:val="21"/>
              </w:rPr>
              <w:t>胡俊</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2020年11月18日 上午至2020年11月18日 下午</w:t>
            </w:r>
            <w:bookmarkEnd w:id="23"/>
          </w:p>
        </w:tc>
        <w:tc>
          <w:tcPr>
            <w:tcW w:w="1997" w:type="dxa"/>
            <w:vAlign w:val="center"/>
          </w:tcPr>
          <w:p>
            <w:pPr>
              <w:rPr>
                <w:rFonts w:ascii="宋体" w:hAnsi="宋体"/>
                <w:b/>
                <w:sz w:val="21"/>
                <w:szCs w:val="21"/>
              </w:rPr>
            </w:pPr>
            <w:r>
              <w:rPr>
                <w:rFonts w:hint="eastAsia" w:ascii="宋体" w:hAnsi="宋体"/>
                <w:b/>
                <w:sz w:val="21"/>
                <w:szCs w:val="21"/>
              </w:rPr>
              <w:t>一体化审核</w:t>
            </w:r>
          </w:p>
        </w:tc>
        <w:tc>
          <w:tcPr>
            <w:tcW w:w="2925"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20"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ascii="宋体" w:hAnsi="宋体"/>
                <w:b/>
                <w:sz w:val="21"/>
                <w:szCs w:val="21"/>
              </w:rPr>
              <w:t>计算机软件研发</w:t>
            </w:r>
            <w:bookmarkEnd w:id="25"/>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20"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33.02.01</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97"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2021-09-16</w:t>
            </w:r>
          </w:p>
        </w:tc>
        <w:tc>
          <w:tcPr>
            <w:tcW w:w="129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632" w:type="dxa"/>
          </w:tcPr>
          <w:p>
            <w:pPr>
              <w:spacing w:line="260" w:lineRule="exact"/>
              <w:rPr>
                <w:rFonts w:hint="default" w:ascii="宋体" w:eastAsia="宋体"/>
                <w:b/>
                <w:sz w:val="21"/>
                <w:lang w:val="en-US" w:eastAsia="zh-CN"/>
              </w:rPr>
            </w:pPr>
            <w:r>
              <w:rPr>
                <w:rFonts w:hint="eastAsia" w:ascii="宋体"/>
                <w:b/>
                <w:sz w:val="21"/>
                <w:lang w:val="en-US" w:eastAsia="zh-CN"/>
              </w:rPr>
              <w:t>2019年9月23日</w:t>
            </w:r>
          </w:p>
        </w:tc>
      </w:tr>
    </w:tbl>
    <w:p>
      <w:pPr>
        <w:tabs>
          <w:tab w:val="left" w:pos="645"/>
        </w:tabs>
        <w:rPr>
          <w:b/>
          <w:sz w:val="16"/>
          <w:szCs w:val="1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sz w:val="21"/>
                <w:szCs w:val="21"/>
              </w:rPr>
              <w:t>成都迈思信息技术有限公司是一家专业从事计算机软件研发的企业。现有员工数</w:t>
            </w:r>
            <w:r>
              <w:rPr>
                <w:rFonts w:hint="eastAsia" w:ascii="宋体" w:hAnsi="宋体" w:cs="宋体"/>
                <w:sz w:val="21"/>
                <w:szCs w:val="21"/>
                <w:lang w:val="en-US" w:eastAsia="zh-CN"/>
              </w:rPr>
              <w:t>2</w:t>
            </w:r>
            <w:r>
              <w:rPr>
                <w:rFonts w:hint="eastAsia" w:ascii="宋体" w:hAnsi="宋体" w:cs="宋体"/>
                <w:sz w:val="21"/>
                <w:szCs w:val="21"/>
              </w:rPr>
              <w:t>5人，</w:t>
            </w:r>
            <w:r>
              <w:rPr>
                <w:rFonts w:hint="eastAsia" w:ascii="宋体" w:hAnsi="宋体"/>
                <w:sz w:val="21"/>
                <w:szCs w:val="21"/>
              </w:rPr>
              <w:t>产品广泛运用到教学、电商等领域。</w:t>
            </w:r>
            <w:r>
              <w:rPr>
                <w:rFonts w:hint="eastAsia" w:ascii="宋体" w:hAnsi="宋体" w:cs="宋体"/>
                <w:sz w:val="21"/>
                <w:szCs w:val="21"/>
              </w:rPr>
              <w:t>经营状况良好。组织对内外部因素、相关方需求和期望进行了充分的识别，策划和实施有效。确定了体系的边界，基本适用。管理体系</w:t>
            </w:r>
            <w:r>
              <w:rPr>
                <w:rFonts w:hint="eastAsia" w:ascii="宋体" w:hAnsi="宋体" w:cs="宋体"/>
                <w:sz w:val="21"/>
                <w:szCs w:val="21"/>
                <w:lang w:eastAsia="zh-CN"/>
              </w:rPr>
              <w:t>无</w:t>
            </w:r>
            <w:r>
              <w:rPr>
                <w:rFonts w:hint="eastAsia" w:ascii="宋体" w:hAnsi="宋体" w:cs="宋体"/>
                <w:sz w:val="21"/>
                <w:szCs w:val="21"/>
              </w:rPr>
              <w:t>不适用</w:t>
            </w:r>
            <w:r>
              <w:rPr>
                <w:rFonts w:hint="eastAsia" w:ascii="宋体" w:hAnsi="宋体" w:cs="宋体"/>
                <w:sz w:val="21"/>
                <w:szCs w:val="21"/>
                <w:lang w:eastAsia="zh-CN"/>
              </w:rPr>
              <w:t>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公司了建立了风险和机遇应对措施的管控文件《风险分析控制程序》，并在体系运行中加以应用，符合标准要求。从现场及资料确认：主要风险和机遇的应对措施得当，应对效果基本满足要求。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numPr>
                <w:ilvl w:val="0"/>
                <w:numId w:val="0"/>
              </w:numPr>
              <w:spacing w:line="300" w:lineRule="exact"/>
              <w:ind w:leftChars="0"/>
              <w:rPr>
                <w:rFonts w:hint="eastAsia" w:ascii="宋体" w:hAnsi="宋体"/>
                <w:b/>
                <w:szCs w:val="21"/>
                <w:lang w:val="en-US" w:eastAsia="zh-CN"/>
              </w:rPr>
            </w:pPr>
            <w:r>
              <w:rPr>
                <w:rFonts w:hint="eastAsia" w:ascii="宋体" w:hAnsi="宋体"/>
                <w:b/>
                <w:szCs w:val="21"/>
              </w:rPr>
              <w:t>计算机软件研发</w:t>
            </w:r>
            <w:r>
              <w:rPr>
                <w:rFonts w:hint="eastAsia" w:ascii="宋体" w:hAnsi="宋体"/>
                <w:b/>
                <w:szCs w:val="21"/>
                <w:lang w:eastAsia="zh-CN"/>
              </w:rPr>
              <w:t>流程：</w:t>
            </w:r>
          </w:p>
          <w:p>
            <w:pPr>
              <w:spacing w:line="460" w:lineRule="atLeast"/>
              <w:rPr>
                <w:rFonts w:ascii="宋体" w:hAnsi="宋体"/>
                <w:b/>
                <w:sz w:val="21"/>
                <w:szCs w:val="21"/>
              </w:rPr>
            </w:pPr>
            <w:r>
              <w:rPr>
                <w:rFonts w:hint="eastAsia" w:ascii="宋体" w:hAnsi="宋体"/>
                <w:b/>
                <w:sz w:val="21"/>
                <w:szCs w:val="21"/>
              </w:rPr>
              <w:t>质量管理体系过程有：</w:t>
            </w:r>
            <w:r>
              <w:rPr>
                <w:rFonts w:hint="eastAsia" w:ascii="宋体" w:hAnsi="宋体"/>
                <w:sz w:val="21"/>
                <w:szCs w:val="21"/>
              </w:rPr>
              <w:t>洽谈项目——立项与策划——需求分析——设计开发——编码——测试——发布上线—验收</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：研发过程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：研发过程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eastAsia="zh-CN"/>
              </w:rPr>
              <w:t>无</w:t>
            </w:r>
            <w:r>
              <w:rPr>
                <w:rFonts w:hint="eastAsia" w:ascii="宋体" w:hAnsi="宋体"/>
                <w:b/>
                <w:sz w:val="21"/>
                <w:szCs w:val="21"/>
                <w:lang w:val="en-US" w:eastAsia="zh-CN"/>
              </w:rPr>
              <w:t xml:space="preserve">      </w:t>
            </w:r>
            <w:r>
              <w:rPr>
                <w:rFonts w:hint="eastAsia" w:ascii="宋体" w:hAnsi="宋体"/>
                <w:b/>
                <w:sz w:val="21"/>
                <w:szCs w:val="21"/>
              </w:rPr>
              <w:t>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1</w:t>
            </w:r>
            <w:r>
              <w:rPr>
                <w:rFonts w:hint="eastAsia" w:ascii="宋体" w:hAnsi="宋体" w:eastAsia="宋体" w:cs="宋体"/>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rPr>
              <w:t>办公面积1000平方左右，主要为研发、市场和行政部门使用</w:t>
            </w:r>
            <w:r>
              <w:rPr>
                <w:rFonts w:hint="eastAsia" w:ascii="宋体" w:hAnsi="宋体" w:cs="宋体"/>
                <w:sz w:val="21"/>
                <w:szCs w:val="21"/>
                <w:lang w:eastAsia="zh-CN"/>
              </w:rPr>
              <w:t>，</w:t>
            </w:r>
            <w:r>
              <w:rPr>
                <w:rFonts w:hint="eastAsia" w:ascii="宋体" w:hAnsi="宋体" w:cs="宋体"/>
                <w:color w:val="000000"/>
                <w:sz w:val="21"/>
                <w:szCs w:val="21"/>
              </w:rPr>
              <w:t>公司未建立库房。</w:t>
            </w:r>
            <w:r>
              <w:rPr>
                <w:rFonts w:hint="eastAsia" w:ascii="宋体" w:hAnsi="宋体" w:cs="宋体"/>
                <w:sz w:val="21"/>
                <w:szCs w:val="21"/>
              </w:rPr>
              <w:t>主要经营设备包括</w:t>
            </w:r>
            <w:r>
              <w:rPr>
                <w:rFonts w:hint="eastAsia" w:ascii="宋体" w:hAnsi="宋体" w:cs="宋体"/>
                <w:color w:val="000000"/>
                <w:sz w:val="21"/>
                <w:szCs w:val="21"/>
              </w:rPr>
              <w:t>：</w:t>
            </w:r>
            <w:r>
              <w:rPr>
                <w:rFonts w:hint="eastAsia" w:ascii="宋体" w:hAnsi="宋体"/>
                <w:sz w:val="21"/>
                <w:szCs w:val="21"/>
              </w:rPr>
              <w:t>办公设备、电脑、打印机、办公耗材等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计算机软件研发</w:t>
            </w:r>
            <w:r>
              <w:rPr>
                <w:rFonts w:hint="eastAsia" w:ascii="宋体" w:hAnsi="宋体" w:cs="宋体"/>
                <w:sz w:val="21"/>
                <w:szCs w:val="21"/>
              </w:rPr>
              <w:t>需要。行政部对办公室设备按月方式进行点检维护保养，并实施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rPr>
              <w:t>办公室内设备布置合理，通道畅通，照明设施齐全，均配备了消防设施等设施。办公室明亮，作业场所光线较充足。每月由行政部对工作环境进行定期检查。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cs="宋体"/>
                <w:sz w:val="21"/>
                <w:szCs w:val="21"/>
              </w:rPr>
            </w:pPr>
            <w:r>
              <w:rPr>
                <w:rFonts w:hint="eastAsia" w:ascii="宋体" w:hAnsi="宋体" w:cs="宋体"/>
                <w:sz w:val="21"/>
                <w:szCs w:val="21"/>
              </w:rPr>
              <w:t>技术部均按策划的要求配置了相应的检测设备，主要为测试软件及测试平台，包括：系统：Ubuntu操作系统，macos操作系统和windows操作系统，编辑器：Atom，浏览器：谷歌及火狐浏览器，辅助工具：浏览器自带的网页审查工具；测试软件：墨盒测试\redmine管理工具等。均采用自己确认的方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知识</w:t>
            </w:r>
          </w:p>
          <w:p>
            <w:pPr>
              <w:spacing w:line="240" w:lineRule="exact"/>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20" w:firstLineChars="200"/>
              <w:rPr>
                <w:rFonts w:hint="eastAsia" w:ascii="宋体" w:hAnsi="宋体" w:cs="宋体"/>
                <w:sz w:val="21"/>
                <w:szCs w:val="21"/>
              </w:rPr>
            </w:pPr>
            <w:r>
              <w:rPr>
                <w:rFonts w:hint="eastAsia" w:ascii="宋体" w:hAnsi="宋体" w:cs="宋体"/>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spacing w:line="240" w:lineRule="exact"/>
              <w:ind w:firstLine="422" w:firstLineChars="200"/>
              <w:rPr>
                <w:rFonts w:hint="eastAsia" w:ascii="宋体" w:hAnsi="宋体" w:eastAsia="宋体" w:cs="宋体"/>
                <w:color w:val="000000"/>
                <w:sz w:val="21"/>
                <w:szCs w:val="21"/>
                <w:lang w:eastAsia="zh-CN"/>
              </w:rPr>
            </w:pP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lang w:eastAsia="zh-CN"/>
              </w:rPr>
              <w:t>：研发过程</w:t>
            </w:r>
            <w:r>
              <w:rPr>
                <w:rFonts w:hint="eastAsia" w:ascii="宋体" w:hAnsi="宋体"/>
                <w:b/>
                <w:sz w:val="21"/>
                <w:szCs w:val="21"/>
                <w:lang w:val="en-US" w:eastAsia="zh-CN"/>
              </w:rPr>
              <w:t xml:space="preserve">  </w:t>
            </w:r>
            <w:r>
              <w:rPr>
                <w:rFonts w:hint="eastAsia" w:ascii="宋体" w:hAnsi="宋体"/>
                <w:b/>
                <w:sz w:val="21"/>
                <w:szCs w:val="21"/>
              </w:rPr>
              <w:t>特殊过程控制</w:t>
            </w:r>
            <w:r>
              <w:rPr>
                <w:rFonts w:hint="eastAsia" w:ascii="宋体" w:hAnsi="宋体"/>
                <w:b/>
                <w:sz w:val="21"/>
                <w:szCs w:val="21"/>
                <w:lang w:eastAsia="zh-CN"/>
              </w:rPr>
              <w:t>：设计开发控制程序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软件研发</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 w:val="21"/>
                <w:szCs w:val="21"/>
              </w:rPr>
              <w:t>通过20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3"/>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公司建立了《顾客满意度监视测量程序》，对顾客投诉处理及顾客满意度评价做了明确的规定，并按规定对顾客反馈及时处理，但在顾客反馈信息</w:t>
            </w:r>
            <w:r>
              <w:rPr>
                <w:rFonts w:hint="eastAsia" w:ascii="宋体" w:hAnsi="宋体" w:cs="宋体"/>
                <w:color w:val="000000" w:themeColor="text1"/>
                <w:sz w:val="21"/>
                <w:szCs w:val="21"/>
              </w:rPr>
              <w:t>的利用上不够，需要改善。近年来未发生重大顾客投诉和产品质量事故。顾客满意度调查按规定实施，2019年</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月实施，满意度评价9</w:t>
            </w: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eastAsia="宋体" w:cs="宋体"/>
                <w:color w:val="auto"/>
                <w:sz w:val="21"/>
                <w:szCs w:val="21"/>
                <w:lang w:eastAsia="zh-CN"/>
              </w:rPr>
              <w:t>建立有《内部审核控制程序》，规定了内审频次一年一次，内审时间：2020年6月15日，拟定了审核实施表，明确了内审范围，内审人员经培训合格上岗，能力满足要求，未出现审核本部门情况，内审不符合项1项，涉及技术部</w:t>
            </w: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lang w:eastAsia="zh-CN"/>
              </w:rPr>
              <w:t>条款“</w:t>
            </w:r>
            <w:r>
              <w:rPr>
                <w:rFonts w:hint="eastAsia" w:ascii="宋体" w:hAnsi="宋体" w:eastAsia="宋体" w:cs="宋体"/>
                <w:color w:val="auto"/>
                <w:sz w:val="21"/>
                <w:szCs w:val="21"/>
                <w:lang w:val="zh-CN" w:eastAsia="zh-CN"/>
              </w:rPr>
              <w:t>抽查测试记录，提供的6月测试记录，存在无签名和记录漏项情况</w:t>
            </w:r>
            <w:r>
              <w:rPr>
                <w:rFonts w:hint="eastAsia" w:ascii="宋体" w:hAnsi="宋体" w:eastAsia="宋体" w:cs="宋体"/>
                <w:color w:val="auto"/>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w:t>
            </w:r>
            <w:r>
              <w:rPr>
                <w:rFonts w:hint="eastAsia" w:ascii="宋体" w:hAnsi="宋体" w:cs="宋体"/>
                <w:color w:val="000000" w:themeColor="text1"/>
                <w:sz w:val="21"/>
                <w:szCs w:val="21"/>
              </w:rPr>
              <w:t>、本次管</w:t>
            </w:r>
            <w:r>
              <w:rPr>
                <w:rFonts w:hint="eastAsia" w:ascii="宋体" w:hAnsi="宋体" w:eastAsia="宋体" w:cs="宋体"/>
                <w:color w:val="000000"/>
                <w:sz w:val="21"/>
                <w:szCs w:val="21"/>
              </w:rPr>
              <w:t>理评审于</w:t>
            </w:r>
            <w:r>
              <w:rPr>
                <w:rFonts w:hint="eastAsia" w:ascii="宋体" w:hAnsi="宋体" w:eastAsia="宋体" w:cs="宋体"/>
                <w:color w:val="000000"/>
                <w:sz w:val="21"/>
                <w:szCs w:val="21"/>
                <w:lang w:eastAsia="zh-CN"/>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07</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lang w:val="en-US" w:eastAsia="zh-CN"/>
              </w:rPr>
              <w:t>05</w:t>
            </w:r>
            <w:r>
              <w:rPr>
                <w:rFonts w:hint="eastAsia" w:ascii="宋体" w:hAnsi="宋体" w:eastAsia="宋体" w:cs="宋体"/>
                <w:color w:val="000000"/>
                <w:sz w:val="21"/>
                <w:szCs w:val="21"/>
                <w:lang w:eastAsia="zh-CN"/>
              </w:rPr>
              <w:t>日</w:t>
            </w:r>
            <w:r>
              <w:rPr>
                <w:rFonts w:hint="eastAsia" w:ascii="宋体" w:hAnsi="宋体" w:eastAsia="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hint="eastAsia" w:ascii="宋体" w:hAnsi="宋体" w:eastAsia="宋体"/>
                <w:b/>
                <w:sz w:val="21"/>
                <w:szCs w:val="21"/>
                <w:lang w:val="en-US" w:eastAsia="zh-CN"/>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8.2.3）</w:t>
            </w:r>
            <w:r>
              <w:rPr>
                <w:rFonts w:hint="eastAsia"/>
                <w:b/>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tabs>
          <w:tab w:val="left" w:pos="645"/>
        </w:tabs>
        <w:spacing w:before="163" w:beforeLines="50" w:after="163" w:afterLines="50" w:line="360" w:lineRule="exact"/>
        <w:ind w:firstLine="522" w:firstLineChars="200"/>
        <w:rPr>
          <w:rFonts w:hint="eastAsia"/>
          <w:b/>
          <w:sz w:val="26"/>
          <w:szCs w:val="26"/>
        </w:rPr>
      </w:pPr>
      <w:bookmarkStart w:id="30" w:name="_GoBack"/>
      <w:bookmarkEnd w:id="30"/>
      <w:r>
        <w:rPr>
          <w:rFonts w:hint="eastAsia"/>
          <w:b/>
          <w:sz w:val="26"/>
          <w:szCs w:val="26"/>
        </w:rPr>
        <w:t>本次审核Q共开具不符合项报告项；其中</w:t>
      </w:r>
      <w:r>
        <w:rPr>
          <w:rFonts w:hint="eastAsia"/>
          <w:b/>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sz w:val="26"/>
          <w:szCs w:val="26"/>
        </w:rPr>
        <w:t>严重不符合 0项，一般不符合 1项，观察项</w:t>
      </w:r>
      <w:r>
        <w:rPr>
          <w:rFonts w:hint="eastAsia"/>
          <w:b/>
          <w:sz w:val="26"/>
          <w:szCs w:val="26"/>
          <w:lang w:val="en-US" w:eastAsia="zh-CN"/>
        </w:rPr>
        <w:t>0</w:t>
      </w:r>
      <w:r>
        <w:rPr>
          <w:rFonts w:hint="eastAsia"/>
          <w:b/>
          <w:sz w:val="26"/>
          <w:szCs w:val="26"/>
        </w:rPr>
        <w:t xml:space="preserve">项。不符合项分布在 </w:t>
      </w:r>
      <w:r>
        <w:rPr>
          <w:rFonts w:hint="eastAsia"/>
          <w:b/>
          <w:sz w:val="26"/>
          <w:szCs w:val="26"/>
          <w:lang w:eastAsia="zh-CN"/>
        </w:rPr>
        <w:t>技术</w:t>
      </w:r>
      <w:r>
        <w:rPr>
          <w:rFonts w:hint="eastAsia"/>
          <w:b/>
          <w:sz w:val="26"/>
          <w:szCs w:val="26"/>
        </w:rPr>
        <w:t>部 部门</w:t>
      </w:r>
      <w:r>
        <w:rPr>
          <w:rFonts w:hint="eastAsia"/>
          <w:b/>
          <w:sz w:val="26"/>
          <w:szCs w:val="26"/>
          <w:lang w:val="en-US" w:eastAsia="zh-CN"/>
        </w:rPr>
        <w:t>8.5.1</w:t>
      </w:r>
      <w:r>
        <w:rPr>
          <w:rFonts w:hint="eastAsia"/>
          <w:b/>
          <w:sz w:val="26"/>
          <w:szCs w:val="26"/>
        </w:rPr>
        <w:t>条款，见不符合项分布表。（Q/J/E/S分开填写）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成都迈思信息技术有限公司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eastAsia="宋体"/>
          <w:b/>
          <w:sz w:val="21"/>
          <w:lang w:val="en-US" w:eastAsia="zh-CN"/>
        </w:rPr>
      </w:pPr>
      <w:r>
        <w:rPr>
          <w:rFonts w:hint="eastAsia"/>
          <w:b/>
          <w:sz w:val="21"/>
        </w:rPr>
        <w:t>审核组组员（签名）：</w:t>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   月   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lang w:eastAsia="zh-CN"/>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w:t>
      </w:r>
      <w:r>
        <w:rPr>
          <w:rFonts w:hint="eastAsia"/>
          <w:b/>
          <w:sz w:val="21"/>
          <w:szCs w:val="21"/>
          <w:lang w:eastAsia="zh-CN"/>
        </w:rPr>
        <w:t>S (</w:t>
      </w:r>
      <w:r>
        <w:rPr>
          <w:rFonts w:hint="eastAsia"/>
          <w:b/>
          <w:sz w:val="21"/>
          <w:szCs w:val="21"/>
          <w:lang w:val="en-US" w:eastAsia="zh-CN"/>
        </w:rPr>
        <w:t>1</w:t>
      </w:r>
      <w:r>
        <w:rPr>
          <w:rFonts w:hint="eastAsia"/>
          <w:b/>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D8E44AD5"/>
    <w:multiLevelType w:val="singleLevel"/>
    <w:tmpl w:val="D8E44AD5"/>
    <w:lvl w:ilvl="0" w:tentative="0">
      <w:start w:val="3"/>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1EEBFF49"/>
    <w:multiLevelType w:val="singleLevel"/>
    <w:tmpl w:val="1EEBFF49"/>
    <w:lvl w:ilvl="0" w:tentative="0">
      <w:start w:val="2"/>
      <w:numFmt w:val="decimal"/>
      <w:lvlText w:val="%1."/>
      <w:lvlJc w:val="left"/>
      <w:pPr>
        <w:tabs>
          <w:tab w:val="left" w:pos="312"/>
        </w:tabs>
      </w:pPr>
    </w:lvl>
  </w:abstractNum>
  <w:abstractNum w:abstractNumId="4">
    <w:nsid w:val="45014024"/>
    <w:multiLevelType w:val="singleLevel"/>
    <w:tmpl w:val="45014024"/>
    <w:lvl w:ilvl="0" w:tentative="0">
      <w:start w:val="8"/>
      <w:numFmt w:val="decimal"/>
      <w:lvlText w:val="%1."/>
      <w:lvlJc w:val="left"/>
      <w:pPr>
        <w:tabs>
          <w:tab w:val="left" w:pos="312"/>
        </w:tabs>
      </w:pPr>
    </w:lvl>
  </w:abstractNum>
  <w:abstractNum w:abstractNumId="5">
    <w:nsid w:val="688C3EB5"/>
    <w:multiLevelType w:val="singleLevel"/>
    <w:tmpl w:val="688C3EB5"/>
    <w:lvl w:ilvl="0" w:tentative="0">
      <w:start w:val="2"/>
      <w:numFmt w:val="decimal"/>
      <w:suff w:val="nothing"/>
      <w:lvlText w:val="%1、"/>
      <w:lvlJc w:val="left"/>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BC042EC"/>
    <w:rsid w:val="21242FD7"/>
    <w:rsid w:val="2269588A"/>
    <w:rsid w:val="22F24DC3"/>
    <w:rsid w:val="258F40F6"/>
    <w:rsid w:val="2D0471C3"/>
    <w:rsid w:val="45F53D80"/>
    <w:rsid w:val="601C5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2020-11-18T07:49:48Z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