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受审核方：广州市先极自动化工程有限公司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25"/>
        <w:gridCol w:w="74"/>
        <w:gridCol w:w="1075"/>
        <w:gridCol w:w="17"/>
        <w:gridCol w:w="636"/>
        <w:gridCol w:w="6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10"/>
            <w:vAlign w:val="center"/>
          </w:tcPr>
          <w:p>
            <w:pPr>
              <w:rPr>
                <w:b/>
                <w:sz w:val="21"/>
                <w:szCs w:val="21"/>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910" w:type="dxa"/>
            <w:gridSpan w:val="7"/>
            <w:vAlign w:val="center"/>
          </w:tcPr>
          <w:p>
            <w:pPr>
              <w:rPr>
                <w:b/>
                <w:sz w:val="21"/>
                <w:szCs w:val="21"/>
              </w:rPr>
            </w:pPr>
            <w:r>
              <w:rPr>
                <w:rFonts w:hint="eastAsia"/>
                <w:b/>
                <w:color w:val="000000" w:themeColor="text1"/>
                <w:sz w:val="20"/>
                <w:szCs w:val="20"/>
              </w:rPr>
              <w:t>北京市朝阳区北苑路168号1号楼16层1603</w:t>
            </w:r>
          </w:p>
        </w:tc>
        <w:tc>
          <w:tcPr>
            <w:tcW w:w="701" w:type="dxa"/>
            <w:gridSpan w:val="2"/>
            <w:vAlign w:val="center"/>
          </w:tcPr>
          <w:p>
            <w:pPr>
              <w:rPr>
                <w:b/>
                <w:sz w:val="21"/>
                <w:szCs w:val="21"/>
              </w:rPr>
            </w:pPr>
            <w:r>
              <w:rPr>
                <w:rFonts w:hint="eastAsia"/>
                <w:b/>
                <w:color w:val="000000" w:themeColor="text1"/>
                <w:sz w:val="20"/>
                <w:szCs w:val="20"/>
              </w:rPr>
              <w:t>邮编</w:t>
            </w:r>
          </w:p>
        </w:tc>
        <w:tc>
          <w:tcPr>
            <w:tcW w:w="1664" w:type="dxa"/>
            <w:vAlign w:val="center"/>
          </w:tcPr>
          <w:p>
            <w:pPr>
              <w:rPr>
                <w:b/>
                <w:sz w:val="21"/>
                <w:szCs w:val="21"/>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4744" w:type="dxa"/>
            <w:gridSpan w:val="4"/>
            <w:vAlign w:val="center"/>
          </w:tcPr>
          <w:p>
            <w:pPr>
              <w:rPr>
                <w:b/>
                <w:sz w:val="21"/>
                <w:szCs w:val="21"/>
              </w:rPr>
            </w:pPr>
            <w:r>
              <w:rPr>
                <w:rFonts w:hint="eastAsia"/>
                <w:color w:val="000000" w:themeColor="text1"/>
                <w:sz w:val="20"/>
                <w:szCs w:val="20"/>
              </w:rPr>
              <w:t>010-5351 6278</w:t>
            </w:r>
          </w:p>
        </w:tc>
        <w:tc>
          <w:tcPr>
            <w:tcW w:w="1149" w:type="dxa"/>
            <w:gridSpan w:val="2"/>
            <w:vAlign w:val="center"/>
          </w:tcPr>
          <w:p>
            <w:r>
              <w:rPr>
                <w:rFonts w:hint="eastAsia"/>
                <w:b/>
                <w:color w:val="000000" w:themeColor="text1"/>
                <w:sz w:val="20"/>
                <w:szCs w:val="20"/>
              </w:rPr>
              <w:t>邮箱</w:t>
            </w:r>
          </w:p>
        </w:tc>
        <w:tc>
          <w:tcPr>
            <w:tcW w:w="2382" w:type="dxa"/>
            <w:gridSpan w:val="4"/>
            <w:vAlign w:val="center"/>
          </w:tcPr>
          <w:p>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34" w:type="dxa"/>
            <w:gridSpan w:val="12"/>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gridSpan w:val="2"/>
            <w:vAlign w:val="center"/>
          </w:tcPr>
          <w:p>
            <w:pPr>
              <w:jc w:val="center"/>
              <w:rPr>
                <w:b/>
                <w:sz w:val="21"/>
                <w:szCs w:val="21"/>
              </w:rPr>
            </w:pPr>
            <w:r>
              <w:rPr>
                <w:rFonts w:hint="eastAsia"/>
                <w:b/>
                <w:sz w:val="21"/>
                <w:szCs w:val="21"/>
              </w:rPr>
              <w:t>审核员注册号</w:t>
            </w:r>
          </w:p>
        </w:tc>
        <w:tc>
          <w:tcPr>
            <w:tcW w:w="1728" w:type="dxa"/>
            <w:gridSpan w:val="3"/>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gridSpan w:val="2"/>
            <w:vAlign w:val="center"/>
          </w:tcPr>
          <w:p>
            <w:pPr>
              <w:jc w:val="center"/>
              <w:rPr>
                <w:b/>
                <w:sz w:val="21"/>
                <w:szCs w:val="21"/>
              </w:rPr>
            </w:pPr>
            <w:r>
              <w:rPr>
                <w:b/>
                <w:sz w:val="21"/>
                <w:szCs w:val="21"/>
              </w:rPr>
              <w:t>2019-N1QMS-1242345</w:t>
            </w:r>
          </w:p>
        </w:tc>
        <w:tc>
          <w:tcPr>
            <w:tcW w:w="1728" w:type="dxa"/>
            <w:gridSpan w:val="3"/>
            <w:vAlign w:val="center"/>
          </w:tcPr>
          <w:p>
            <w:pPr>
              <w:jc w:val="center"/>
              <w:rPr>
                <w:b/>
                <w:sz w:val="21"/>
                <w:szCs w:val="21"/>
              </w:rPr>
            </w:pPr>
            <w:r>
              <w:rPr>
                <w:b/>
                <w:sz w:val="21"/>
                <w:szCs w:val="21"/>
              </w:rPr>
              <w:t>18.05.07,19.14.00</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gridSpan w:val="2"/>
          </w:tcPr>
          <w:p>
            <w:pPr>
              <w:rPr>
                <w:b/>
                <w:sz w:val="21"/>
                <w:szCs w:val="21"/>
              </w:rPr>
            </w:pPr>
          </w:p>
        </w:tc>
        <w:tc>
          <w:tcPr>
            <w:tcW w:w="1728" w:type="dxa"/>
            <w:gridSpan w:val="3"/>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834" w:type="dxa"/>
            <w:gridSpan w:val="12"/>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8"/>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8"/>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8"/>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sz w:val="21"/>
                <w:szCs w:val="22"/>
              </w:rPr>
              <w:t>广州市先极自动化工程有限公司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广州市越秀区东风西路132-1号1111室(仅限办公使用)</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510170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成都市武侯区武科西一路65号优博中心C座404</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成都市武侯区武科西一路65号优博中心C座404</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ascii="宋体"/>
                <w:b/>
                <w:sz w:val="21"/>
              </w:rPr>
            </w:pPr>
            <w:bookmarkStart w:id="17" w:name="联系人"/>
            <w:r>
              <w:rPr>
                <w:rFonts w:ascii="宋体"/>
                <w:b/>
                <w:sz w:val="21"/>
              </w:rPr>
              <w:t>陈林</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020-81362988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20" w:name="法人"/>
            <w:r>
              <w:rPr>
                <w:rFonts w:ascii="宋体" w:hAnsi="宋体"/>
                <w:b/>
                <w:sz w:val="21"/>
                <w:szCs w:val="21"/>
              </w:rPr>
              <w:t>黄漾</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21" w:name="管理者代表"/>
            <w:r>
              <w:rPr>
                <w:rFonts w:ascii="宋体"/>
                <w:b/>
                <w:sz w:val="21"/>
              </w:rPr>
              <w:t>刘邦权</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2019年09月29日 上午至2019年09月29日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18.05.07;19.14.00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bookmarkStart w:id="28" w:name="证书有效期"/>
            <w:bookmarkEnd w:id="28"/>
            <w:r>
              <w:rPr>
                <w:rFonts w:hint="eastAsia" w:ascii="宋体" w:hAnsi="宋体"/>
                <w:b/>
                <w:sz w:val="21"/>
                <w:szCs w:val="21"/>
                <w:lang w:val="en-US" w:eastAsia="zh-CN"/>
              </w:rPr>
              <w:t>2021.10.16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2018.8.31-9.2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bookmarkStart w:id="29" w:name="审核范围"/>
      <w:r>
        <w:rPr>
          <w:rFonts w:hint="eastAsia" w:ascii="宋体" w:hAnsi="宋体"/>
          <w:b/>
          <w:sz w:val="21"/>
          <w:szCs w:val="21"/>
        </w:rPr>
        <w:t>交通安全、管制及专用设备及城市轨道交通设备的制造</w:t>
      </w:r>
      <w:bookmarkEnd w:id="29"/>
      <w:r>
        <w:rPr>
          <w:rFonts w:hint="eastAsia" w:ascii="宋体" w:hAnsi="宋体"/>
          <w:b/>
          <w:sz w:val="21"/>
          <w:szCs w:val="21"/>
        </w:rPr>
        <w:t xml:space="preserve">  </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 xml:space="preserve">  2018年09月02</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09</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jc w:val="center"/>
        </w:trPr>
        <w:tc>
          <w:tcPr>
            <w:tcW w:w="720" w:type="dxa"/>
            <w:vMerge w:val="restart"/>
            <w:textDirection w:val="tbRlV"/>
            <w:vAlign w:val="center"/>
          </w:tcPr>
          <w:p>
            <w:pPr>
              <w:spacing w:line="240" w:lineRule="exact"/>
              <w:ind w:left="241" w:leftChars="0" w:right="113" w:rightChars="0"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b/>
                <w:color w:val="000000"/>
                <w:sz w:val="20"/>
                <w:lang w:eastAsia="zh-CN"/>
              </w:rPr>
            </w:pPr>
            <w:r>
              <w:rPr>
                <w:b/>
                <w:color w:val="000000"/>
                <w:sz w:val="20"/>
              </w:rPr>
              <w:t>1</w:t>
            </w:r>
            <w:r>
              <w:rPr>
                <w:rFonts w:hint="eastAsia"/>
                <w:b/>
                <w:color w:val="000000"/>
                <w:sz w:val="20"/>
                <w:lang w:eastAsia="zh-CN"/>
              </w:rPr>
              <w:t>.</w:t>
            </w:r>
            <w:r>
              <w:rPr>
                <w:rFonts w:hint="eastAsia"/>
                <w:b/>
                <w:color w:val="000000"/>
                <w:sz w:val="20"/>
              </w:rPr>
              <w:t>组织及其环境的识别情况</w:t>
            </w:r>
            <w:r>
              <w:rPr>
                <w:rFonts w:hint="eastAsia"/>
                <w:b/>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cs="宋体"/>
                <w:color w:val="000000"/>
                <w:sz w:val="21"/>
                <w:szCs w:val="21"/>
                <w:lang w:eastAsia="zh-CN"/>
              </w:rPr>
              <w:t>广州市先极自动化工程有限公司,2011年03月15日成立，经营范围包括商品批发贸易（许可审批类商品除外）;机电设备安装服务;电气机械设备销售;工业自动控制系统装置制造;通信设施安装工程服务;交通安全、管制及类似专用设备制造;城市轨道交通设施工程服务等，经营状况良好。组织对内外部因素、相关方需求和期望进行了充分的识别，策划和实施有效。组织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40" w:lineRule="exact"/>
              <w:rPr>
                <w:rFonts w:hint="eastAsia"/>
                <w:b/>
                <w:color w:val="000000"/>
                <w:sz w:val="20"/>
                <w:lang w:eastAsia="zh-CN"/>
              </w:rPr>
            </w:pPr>
            <w:r>
              <w:rPr>
                <w:rFonts w:hint="eastAsia"/>
                <w:b/>
                <w:color w:val="000000"/>
                <w:sz w:val="20"/>
                <w:lang w:val="en-US" w:eastAsia="zh-CN"/>
              </w:rPr>
              <w:t>2.</w:t>
            </w:r>
            <w:r>
              <w:rPr>
                <w:rFonts w:hint="eastAsia"/>
                <w:b/>
                <w:color w:val="000000"/>
                <w:sz w:val="20"/>
              </w:rPr>
              <w:t>相关方需求和期望识别情况</w:t>
            </w:r>
            <w:r>
              <w:rPr>
                <w:rFonts w:hint="eastAsia"/>
                <w:b/>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谈心、茶话会等；理解银行等相关方的形式主要为电话沟通、上门拜访等；员工关注的主要问题有工资、待遇、晋升机制、福利等，供应商关注的主要问题是回款时间等。顾客</w:t>
            </w:r>
            <w:r>
              <w:rPr>
                <w:rFonts w:hint="eastAsia" w:ascii="宋体" w:hAnsi="宋体" w:cs="宋体"/>
                <w:color w:val="000000"/>
                <w:sz w:val="21"/>
                <w:szCs w:val="21"/>
                <w:lang w:eastAsia="zh-CN"/>
              </w:rPr>
              <w:t>等</w:t>
            </w:r>
            <w:r>
              <w:rPr>
                <w:rFonts w:hint="eastAsia" w:ascii="宋体" w:hAnsi="宋体" w:cs="宋体"/>
                <w:color w:val="000000"/>
                <w:sz w:val="21"/>
                <w:szCs w:val="21"/>
              </w:rPr>
              <w:t>相关方需求和期望</w:t>
            </w:r>
            <w:r>
              <w:rPr>
                <w:rFonts w:hint="eastAsia" w:ascii="宋体" w:hAnsi="宋体" w:cs="宋体"/>
                <w:color w:val="000000"/>
                <w:sz w:val="21"/>
                <w:szCs w:val="21"/>
                <w:lang w:eastAsia="zh-CN"/>
              </w:rPr>
              <w:t>主要为</w:t>
            </w:r>
            <w:r>
              <w:rPr>
                <w:rFonts w:hint="eastAsia" w:ascii="宋体" w:hAnsi="宋体" w:cs="宋体"/>
                <w:color w:val="000000"/>
                <w:sz w:val="21"/>
                <w:szCs w:val="21"/>
              </w:rPr>
              <w:t>产品质量符合要求、及时交货、价格合理、服务及时</w:t>
            </w:r>
            <w:r>
              <w:rPr>
                <w:rFonts w:hint="eastAsia" w:ascii="宋体" w:hAnsi="宋体" w:cs="宋体"/>
                <w:color w:val="000000"/>
                <w:sz w:val="21"/>
                <w:szCs w:val="21"/>
                <w:lang w:eastAsia="zh-CN"/>
              </w:rPr>
              <w:t>等</w:t>
            </w:r>
            <w:r>
              <w:rPr>
                <w:rFonts w:hint="eastAsia" w:ascii="宋体" w:hAnsi="宋体" w:cs="宋体"/>
                <w:color w:val="000000"/>
                <w:sz w:val="21"/>
                <w:szCs w:val="21"/>
              </w:rPr>
              <w:t>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360" w:lineRule="auto"/>
              <w:rPr>
                <w:b/>
                <w:sz w:val="20"/>
              </w:rPr>
            </w:pPr>
            <w:r>
              <w:rPr>
                <w:rFonts w:hint="eastAsia"/>
                <w:b/>
                <w:spacing w:val="-10"/>
                <w:szCs w:val="21"/>
                <w:lang w:val="en-US" w:eastAsia="zh-CN"/>
              </w:rPr>
              <w:t>3.</w:t>
            </w:r>
            <w:r>
              <w:rPr>
                <w:rFonts w:hint="eastAsia"/>
                <w:b/>
                <w:spacing w:val="-10"/>
                <w:szCs w:val="21"/>
                <w:lang w:eastAsia="zh-CN"/>
              </w:rPr>
              <w:t>☑</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w:t>
            </w:r>
            <w:r>
              <w:rPr>
                <w:rFonts w:hint="eastAsia" w:ascii="宋体" w:hAnsi="宋体"/>
                <w:b/>
                <w:szCs w:val="21"/>
                <w:lang w:eastAsia="zh-CN"/>
              </w:rPr>
              <w:t>组织的质量方针为：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ascii="宋体" w:hAnsi="宋体"/>
                <w:b/>
                <w:sz w:val="21"/>
                <w:szCs w:val="21"/>
              </w:rPr>
            </w:pPr>
            <w:r>
              <w:rPr>
                <w:rFonts w:hint="eastAsia" w:ascii="宋体" w:hAnsi="宋体" w:cs="宋体"/>
                <w:color w:val="000000"/>
                <w:sz w:val="21"/>
                <w:szCs w:val="21"/>
              </w:rPr>
              <w:t>“质量第一、降本增效、精益求精、持续改进”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80" w:lineRule="exact"/>
              <w:ind w:leftChars="0"/>
              <w:rPr>
                <w:rFonts w:hint="eastAsia"/>
                <w:b/>
                <w:color w:val="000000"/>
                <w:lang w:eastAsia="zh-CN"/>
              </w:rPr>
            </w:pPr>
            <w:r>
              <w:rPr>
                <w:rFonts w:hint="eastAsia"/>
                <w:b/>
                <w:color w:val="000000"/>
                <w:lang w:val="en-US" w:eastAsia="zh-CN"/>
              </w:rPr>
              <w:t>4.</w:t>
            </w:r>
            <w:r>
              <w:rPr>
                <w:rFonts w:hint="eastAsia"/>
                <w:b/>
                <w:color w:val="000000"/>
              </w:rPr>
              <w:t>风险识别与控制策划</w:t>
            </w:r>
            <w:r>
              <w:rPr>
                <w:rFonts w:hint="eastAsia"/>
                <w:b/>
                <w:color w:val="000000"/>
                <w:lang w:eastAsia="zh-CN"/>
              </w:rPr>
              <w:t>：</w:t>
            </w:r>
          </w:p>
          <w:p>
            <w:pPr>
              <w:numPr>
                <w:ilvl w:val="0"/>
                <w:numId w:val="0"/>
              </w:numPr>
              <w:spacing w:line="280" w:lineRule="exact"/>
              <w:ind w:left="0" w:leftChars="0"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b/>
                <w:szCs w:val="21"/>
              </w:rPr>
              <w:t>5</w:t>
            </w:r>
            <w:r>
              <w:rPr>
                <w:rFonts w:hint="eastAsia"/>
                <w:b/>
                <w:szCs w:val="21"/>
                <w:lang w:eastAsia="zh-CN"/>
              </w:rPr>
              <w:t>.</w:t>
            </w:r>
            <w:r>
              <w:rPr>
                <w:b/>
                <w:szCs w:val="21"/>
              </w:rPr>
              <w:t>QMS</w:t>
            </w:r>
            <w:r>
              <w:rPr>
                <w:rFonts w:hint="eastAsia" w:ascii="宋体" w:hAnsi="宋体"/>
                <w:b/>
                <w:szCs w:val="21"/>
              </w:rPr>
              <w:t>过程</w:t>
            </w:r>
          </w:p>
          <w:p>
            <w:pPr>
              <w:widowControl/>
              <w:numPr>
                <w:ilvl w:val="0"/>
                <w:numId w:val="0"/>
              </w:numPr>
              <w:spacing w:line="400" w:lineRule="exact"/>
              <w:rPr>
                <w:rFonts w:hint="eastAsia" w:ascii="宋体" w:hAnsi="宋体"/>
                <w:b/>
                <w:szCs w:val="21"/>
              </w:rPr>
            </w:pPr>
            <w:r>
              <w:rPr>
                <w:rFonts w:hint="eastAsia" w:ascii="宋体" w:hAnsi="宋体"/>
                <w:b/>
                <w:szCs w:val="21"/>
              </w:rPr>
              <w:t>质量管理体系过程有：</w:t>
            </w:r>
          </w:p>
          <w:p>
            <w:pPr>
              <w:tabs>
                <w:tab w:val="left" w:pos="540"/>
              </w:tabs>
              <w:spacing w:line="300" w:lineRule="exact"/>
              <w:ind w:left="241" w:hanging="210" w:hangingChars="100"/>
              <w:rPr>
                <w:rFonts w:hint="eastAsia" w:ascii="宋体" w:hAnsi="宋体"/>
                <w:sz w:val="21"/>
                <w:szCs w:val="21"/>
              </w:rPr>
            </w:pPr>
            <w:r>
              <w:rPr>
                <w:rFonts w:hint="eastAsia" w:ascii="宋体" w:hAnsi="宋体"/>
                <w:sz w:val="21"/>
                <w:szCs w:val="21"/>
              </w:rPr>
              <w:t>生产工艺：PCB贴片</w:t>
            </w:r>
            <w:r>
              <w:rPr>
                <w:rFonts w:ascii="宋体" w:hAnsi="宋体"/>
                <w:sz w:val="21"/>
                <w:szCs w:val="21"/>
              </w:rPr>
              <w:t>—</w:t>
            </w:r>
            <w:r>
              <w:rPr>
                <w:rFonts w:hint="eastAsia" w:ascii="宋体" w:hAnsi="宋体"/>
                <w:sz w:val="21"/>
                <w:szCs w:val="21"/>
              </w:rPr>
              <w:t>写程序检测</w:t>
            </w:r>
            <w:r>
              <w:rPr>
                <w:rFonts w:ascii="宋体" w:hAnsi="宋体"/>
                <w:sz w:val="21"/>
                <w:szCs w:val="21"/>
              </w:rPr>
              <w:t>—</w:t>
            </w:r>
            <w:r>
              <w:rPr>
                <w:rFonts w:hint="eastAsia" w:ascii="宋体" w:hAnsi="宋体"/>
                <w:sz w:val="21"/>
                <w:szCs w:val="21"/>
              </w:rPr>
              <w:t>装配</w:t>
            </w:r>
            <w:r>
              <w:rPr>
                <w:rFonts w:ascii="宋体" w:hAnsi="宋体"/>
                <w:sz w:val="21"/>
                <w:szCs w:val="21"/>
              </w:rPr>
              <w:t>—</w:t>
            </w:r>
            <w:r>
              <w:rPr>
                <w:rFonts w:hint="eastAsia" w:ascii="宋体" w:hAnsi="宋体"/>
                <w:sz w:val="21"/>
                <w:szCs w:val="21"/>
              </w:rPr>
              <w:t>测试</w:t>
            </w:r>
            <w:r>
              <w:rPr>
                <w:rFonts w:ascii="宋体" w:hAnsi="宋体"/>
                <w:sz w:val="21"/>
                <w:szCs w:val="21"/>
              </w:rPr>
              <w:t>—</w:t>
            </w:r>
            <w:r>
              <w:rPr>
                <w:rFonts w:hint="eastAsia" w:ascii="宋体" w:hAnsi="宋体"/>
                <w:sz w:val="21"/>
                <w:szCs w:val="21"/>
              </w:rPr>
              <w:t>包装</w:t>
            </w:r>
          </w:p>
          <w:p>
            <w:pPr>
              <w:tabs>
                <w:tab w:val="left" w:pos="540"/>
              </w:tabs>
              <w:spacing w:line="300" w:lineRule="exact"/>
              <w:ind w:left="241" w:hanging="241" w:hangingChars="100"/>
              <w:rPr>
                <w:rFonts w:ascii="宋体" w:hAns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ascii="宋体" w:hAnsi="宋体" w:cs="宋体"/>
                <w:sz w:val="21"/>
                <w:szCs w:val="21"/>
                <w:u w:val="single"/>
                <w:lang w:eastAsia="zh-CN"/>
              </w:rPr>
              <w:t>装配、测试</w:t>
            </w:r>
            <w:r>
              <w:rPr>
                <w:rFonts w:ascii="宋体" w:hAnsi="宋体"/>
                <w:b/>
                <w:szCs w:val="21"/>
                <w:u w:val="single"/>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p>
          <w:p>
            <w:pPr>
              <w:tabs>
                <w:tab w:val="left" w:pos="540"/>
              </w:tabs>
              <w:spacing w:line="300" w:lineRule="exact"/>
              <w:ind w:left="240" w:leftChars="0" w:hanging="240" w:hangingChars="100"/>
              <w:rPr>
                <w:rFonts w:ascii="宋体" w:hAnsi="宋体"/>
                <w:b/>
                <w:sz w:val="21"/>
                <w:szCs w:val="21"/>
              </w:rPr>
            </w:pPr>
            <w:r>
              <w:pict>
                <v:shape id="_x0000_s2053" o:spid="_x0000_s2053" o:spt="32" type="#_x0000_t32" style="position:absolute;left:0pt;margin-left:157.9pt;margin-top:12.75pt;height:0pt;width:261.75pt;z-index:9216;mso-width-relative:page;mso-height-relative:page;" o:connectortype="straight" filled="f" coordsize="21600,21600">
                  <v:path arrowok="t"/>
                  <v:fill on="f" focussize="0,0"/>
                  <v:stroke/>
                  <v:imagedata o:title=""/>
                  <o:lock v:ext="edit"/>
                </v:shape>
              </w:pict>
            </w:r>
            <w:r>
              <w:pict>
                <v:shape id="_x0000_s2054" o:spid="_x0000_s2054" o:spt="32" type="#_x0000_t32" style="position:absolute;left:0pt;margin-left:55.15pt;margin-top:12.75pt;height:0pt;width:42pt;z-index:921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lang w:val="en-US" w:eastAsia="zh-CN"/>
              </w:rPr>
              <w:t>8.3</w:t>
            </w:r>
            <w:r>
              <w:rPr>
                <w:rFonts w:ascii="宋体" w:hAnsi="宋体"/>
                <w:b/>
                <w:szCs w:val="21"/>
              </w:rPr>
              <w:t xml:space="preserve">      </w:t>
            </w:r>
            <w:r>
              <w:rPr>
                <w:rFonts w:hint="eastAsia" w:ascii="宋体" w:hAnsi="宋体"/>
                <w:b/>
                <w:szCs w:val="21"/>
              </w:rPr>
              <w:t>，</w:t>
            </w:r>
            <w:r>
              <w:rPr>
                <w:rFonts w:hint="eastAsia" w:ascii="宋体" w:hAnsi="宋体"/>
                <w:b/>
                <w:szCs w:val="21"/>
                <w:u w:val="none"/>
              </w:rPr>
              <w:t>删减理由：</w:t>
            </w:r>
            <w:r>
              <w:rPr>
                <w:rFonts w:hint="eastAsia" w:ascii="宋体" w:hAnsi="宋体" w:cs="宋体"/>
                <w:sz w:val="21"/>
                <w:szCs w:val="21"/>
                <w:u w:val="single"/>
              </w:rPr>
              <w:t>公司产品</w:t>
            </w:r>
            <w:r>
              <w:rPr>
                <w:rFonts w:hint="eastAsia" w:ascii="宋体" w:hAnsi="宋体"/>
                <w:sz w:val="21"/>
                <w:szCs w:val="21"/>
                <w:u w:val="single"/>
              </w:rPr>
              <w:t>均按照</w:t>
            </w:r>
            <w:r>
              <w:rPr>
                <w:rFonts w:hint="eastAsia" w:ascii="宋体" w:hAnsi="宋体"/>
                <w:sz w:val="21"/>
                <w:szCs w:val="21"/>
                <w:u w:val="single"/>
                <w:lang w:eastAsia="zh-CN"/>
              </w:rPr>
              <w:t>国家标准及</w:t>
            </w:r>
            <w:r>
              <w:rPr>
                <w:rFonts w:hint="eastAsia" w:ascii="宋体" w:hAnsi="宋体"/>
                <w:sz w:val="21"/>
                <w:szCs w:val="21"/>
                <w:u w:val="single"/>
              </w:rPr>
              <w:t>顾客要求进行生产，</w:t>
            </w:r>
            <w:r>
              <w:rPr>
                <w:rFonts w:hint="eastAsia" w:ascii="宋体" w:hAnsi="宋体" w:cs="宋体"/>
                <w:sz w:val="21"/>
                <w:szCs w:val="21"/>
                <w:u w:val="single"/>
              </w:rPr>
              <w:t>工艺成熟，不涉及设计，不适用，理由合理。</w:t>
            </w:r>
            <w:r>
              <w:rPr>
                <w:rFonts w:ascii="宋体" w:hAnsi="宋体"/>
                <w:b/>
                <w:szCs w:val="21"/>
                <w:u w:val="single"/>
              </w:rPr>
              <w:t xml:space="preserve">  </w:t>
            </w:r>
            <w:r>
              <w:rPr>
                <w:rFonts w:ascii="宋体" w:hAnsi="宋体"/>
                <w:b/>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rFonts w:ascii="宋体" w:hAnsi="宋体"/>
                <w:b/>
                <w:sz w:val="21"/>
                <w:szCs w:val="21"/>
              </w:rPr>
            </w:pP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hint="eastAsia"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sz w:val="21"/>
                <w:szCs w:val="21"/>
              </w:rPr>
            </w:pPr>
            <w:r>
              <w:rPr>
                <w:rFonts w:hint="eastAsia" w:ascii="宋体" w:hAnsi="宋体"/>
                <w:b/>
                <w:color w:val="000000"/>
                <w:spacing w:val="-8"/>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4"/>
              <w:numPr>
                <w:ilvl w:val="0"/>
                <w:numId w:val="0"/>
              </w:numPr>
              <w:tabs>
                <w:tab w:val="left" w:pos="540"/>
              </w:tabs>
              <w:spacing w:line="300" w:lineRule="exact"/>
              <w:rPr>
                <w:rFonts w:ascii="宋体"/>
                <w:b/>
                <w:szCs w:val="21"/>
                <w:u w:val="single"/>
              </w:rPr>
            </w:pPr>
            <w:r>
              <w:rPr>
                <w:rFonts w:hint="eastAsia" w:ascii="宋体" w:hAnsi="宋体"/>
                <w:b/>
                <w:szCs w:val="21"/>
                <w:lang w:val="en-US" w:eastAsia="zh-CN"/>
              </w:rPr>
              <w:t>(1)</w:t>
            </w: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4"/>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(2)</w:t>
            </w: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w:t>
            </w:r>
            <w:r>
              <w:rPr>
                <w:rFonts w:ascii="宋体" w:hAnsi="宋体"/>
                <w:b/>
                <w:szCs w:val="21"/>
              </w:rPr>
              <w:t xml:space="preserve"> </w:t>
            </w:r>
            <w:r>
              <w:rPr>
                <w:rFonts w:hint="eastAsia" w:ascii="宋体" w:hAnsi="宋体"/>
                <w:b/>
                <w:szCs w:val="21"/>
              </w:rPr>
              <w:t>□未确定法律法规要求的具体条款，</w:t>
            </w:r>
          </w:p>
          <w:p>
            <w:pPr>
              <w:pStyle w:val="14"/>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(3)</w:t>
            </w:r>
            <w:r>
              <w:rPr>
                <w:rFonts w:hint="eastAsia" w:ascii="宋体" w:hAnsi="宋体"/>
                <w:b/>
                <w:szCs w:val="21"/>
              </w:rPr>
              <w:t>法律法规的宣传方式：</w:t>
            </w:r>
            <w:r>
              <w:rPr>
                <w:rFonts w:hint="eastAsia" w:ascii="宋体" w:hAnsi="宋体"/>
                <w:b/>
                <w:szCs w:val="21"/>
                <w:lang w:eastAsia="zh-CN"/>
              </w:rPr>
              <w:t>培训、宣传栏、发放文件等形式。</w:t>
            </w:r>
          </w:p>
          <w:p>
            <w:pPr>
              <w:pStyle w:val="14"/>
              <w:numPr>
                <w:ilvl w:val="0"/>
                <w:numId w:val="0"/>
              </w:numPr>
              <w:tabs>
                <w:tab w:val="left" w:pos="540"/>
              </w:tabs>
              <w:spacing w:line="300" w:lineRule="exact"/>
              <w:ind w:left="0" w:leftChars="0" w:firstLine="0" w:firstLineChars="0"/>
              <w:rPr>
                <w:rFonts w:ascii="宋体" w:hAnsi="宋体"/>
                <w:b/>
                <w:sz w:val="21"/>
                <w:szCs w:val="21"/>
              </w:rPr>
            </w:pPr>
            <w:r>
              <w:rPr>
                <w:rFonts w:hint="eastAsia" w:ascii="宋体" w:hAnsi="宋体"/>
                <w:b/>
                <w:szCs w:val="21"/>
                <w:lang w:val="en-US" w:eastAsia="zh-CN"/>
              </w:rPr>
              <w:t>(4)</w:t>
            </w:r>
            <w:r>
              <w:rPr>
                <w:rFonts w:hint="eastAsia" w:ascii="宋体" w:hAnsi="宋体"/>
                <w:b/>
                <w:szCs w:val="21"/>
              </w:rPr>
              <w:t>法律法规要求及时更新</w:t>
            </w:r>
            <w:r>
              <w:rPr>
                <w:rFonts w:hint="eastAsia" w:ascii="宋体" w:hAnsi="宋体"/>
                <w:b/>
                <w:szCs w:val="21"/>
                <w:lang w:eastAsia="zh-CN"/>
              </w:rPr>
              <w:t>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rFonts w:hint="eastAsia" w:ascii="宋体" w:hAnsi="宋体"/>
                <w:b/>
                <w:szCs w:val="21"/>
                <w:lang w:val="en-US" w:eastAsia="zh-CN"/>
              </w:rPr>
              <w:t>9.</w:t>
            </w:r>
            <w:r>
              <w:rPr>
                <w:rFonts w:hint="eastAsia" w:ascii="宋体" w:hAnsi="宋体"/>
                <w:b/>
                <w:szCs w:val="21"/>
              </w:rPr>
              <w:t>目标、方案</w:t>
            </w:r>
          </w:p>
          <w:p>
            <w:pPr>
              <w:spacing w:line="300" w:lineRule="exact"/>
              <w:rPr>
                <w:rFonts w:hint="eastAsia" w:ascii="宋体" w:hAnsi="宋体" w:eastAsia="宋体" w:cs="宋体"/>
                <w:color w:val="000000"/>
                <w:kern w:val="0"/>
                <w:sz w:val="21"/>
                <w:szCs w:val="21"/>
                <w:lang w:val="en-US" w:eastAsia="zh-CN" w:bidi="ar-SA"/>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r>
              <w:rPr>
                <w:rFonts w:hint="eastAsia" w:ascii="宋体" w:hAnsi="宋体"/>
                <w:b/>
                <w:color w:val="000000"/>
                <w:sz w:val="20"/>
                <w:lang w:eastAsia="zh-CN"/>
              </w:rPr>
              <w:t>：</w:t>
            </w:r>
          </w:p>
          <w:p>
            <w:pPr>
              <w:spacing w:line="300" w:lineRule="exact"/>
              <w:ind w:firstLine="420" w:firstLineChars="200"/>
              <w:rPr>
                <w:rFonts w:ascii="宋体" w:hAnsi="宋体"/>
                <w:b/>
                <w:sz w:val="21"/>
                <w:szCs w:val="21"/>
              </w:rPr>
            </w:pPr>
            <w:r>
              <w:rPr>
                <w:rFonts w:hint="eastAsia" w:ascii="宋体" w:hAnsi="宋体" w:eastAsia="宋体" w:cs="宋体"/>
                <w:color w:val="000000"/>
                <w:kern w:val="0"/>
                <w:sz w:val="21"/>
                <w:szCs w:val="21"/>
                <w:lang w:val="en-US" w:eastAsia="zh-CN" w:bidi="ar-SA"/>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Cs w:val="21"/>
              </w:rPr>
            </w:pPr>
            <w:r>
              <w:rPr>
                <w:rFonts w:hint="eastAsia"/>
                <w:b/>
                <w:szCs w:val="21"/>
                <w:lang w:val="en-US" w:eastAsia="zh-CN"/>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keepNext w:val="0"/>
              <w:keepLines w:val="0"/>
              <w:pageBreakBefore w:val="0"/>
              <w:widowControl w:val="0"/>
              <w:tabs>
                <w:tab w:val="left" w:pos="902"/>
                <w:tab w:val="clear" w:pos="1069"/>
              </w:tabs>
              <w:kinsoku/>
              <w:wordWrap/>
              <w:overflowPunct/>
              <w:topLinePunct w:val="0"/>
              <w:autoSpaceDE/>
              <w:autoSpaceDN/>
              <w:bidi w:val="0"/>
              <w:adjustRightInd/>
              <w:snapToGrid/>
              <w:spacing w:line="240" w:lineRule="auto"/>
              <w:ind w:left="0" w:leftChars="0" w:right="0" w:rightChars="0" w:firstLine="420" w:firstLineChars="200"/>
              <w:textAlignment w:val="auto"/>
              <w:rPr>
                <w:rFonts w:ascii="宋体" w:hAnsi="宋体"/>
                <w:b/>
                <w:sz w:val="21"/>
                <w:szCs w:val="21"/>
              </w:rPr>
            </w:pPr>
            <w:r>
              <w:rPr>
                <w:rFonts w:hint="eastAsia" w:ascii="宋体" w:hAnsi="宋体" w:eastAsia="宋体" w:cs="宋体"/>
                <w:kern w:val="2"/>
                <w:sz w:val="21"/>
                <w:szCs w:val="21"/>
                <w:lang w:val="en-US" w:eastAsia="zh-CN" w:bidi="ar-SA"/>
              </w:rPr>
              <w:t>公司编制了《文件、记录控制程序》并按照申请认证的标准要求，建立并形成了文件化的质量管理体系，体系文件对管理体系各过程进行了识别确定，明确了各要素间的相互关系及其管控要求。公司体系文件于2018 年3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highlight w:val="none"/>
              </w:rPr>
            </w:pPr>
            <w:r>
              <w:rPr>
                <w:rFonts w:hint="eastAsia" w:ascii="宋体" w:hAnsi="宋体"/>
                <w:b/>
                <w:color w:val="000000"/>
                <w:sz w:val="20"/>
              </w:rPr>
              <w:t>设</w:t>
            </w:r>
            <w:r>
              <w:rPr>
                <w:rFonts w:hint="eastAsia" w:ascii="宋体" w:hAnsi="宋体"/>
                <w:b/>
                <w:color w:val="000000"/>
                <w:sz w:val="20"/>
                <w:highlight w:val="none"/>
              </w:rPr>
              <w:t>备设施（包括信息系统）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 w:val="21"/>
                <w:szCs w:val="21"/>
              </w:rPr>
            </w:pPr>
            <w:r>
              <w:rPr>
                <w:rFonts w:hint="eastAsia" w:ascii="宋体"/>
                <w:b/>
                <w:color w:val="000000"/>
                <w:sz w:val="20"/>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厂房面积</w:t>
            </w:r>
            <w:r>
              <w:rPr>
                <w:rFonts w:hint="eastAsia" w:ascii="宋体" w:hAnsi="宋体" w:cs="宋体"/>
                <w:color w:val="000000"/>
                <w:sz w:val="21"/>
                <w:szCs w:val="21"/>
                <w:highlight w:val="none"/>
                <w:lang w:val="en-US" w:eastAsia="zh-CN"/>
              </w:rPr>
              <w:t>350</w:t>
            </w:r>
            <w:r>
              <w:rPr>
                <w:rFonts w:hint="eastAsia" w:ascii="宋体" w:hAnsi="宋体" w:cs="宋体"/>
                <w:color w:val="000000"/>
                <w:sz w:val="21"/>
                <w:szCs w:val="21"/>
                <w:highlight w:val="none"/>
              </w:rPr>
              <w:t>平方左右，库房</w:t>
            </w:r>
            <w:r>
              <w:rPr>
                <w:rFonts w:hint="eastAsia" w:ascii="宋体" w:hAnsi="宋体" w:cs="宋体"/>
                <w:color w:val="000000"/>
                <w:sz w:val="21"/>
                <w:szCs w:val="21"/>
                <w:highlight w:val="none"/>
                <w:lang w:val="en-US" w:eastAsia="zh-CN"/>
              </w:rPr>
              <w:t>60</w:t>
            </w:r>
            <w:r>
              <w:rPr>
                <w:rFonts w:hint="eastAsia" w:ascii="宋体" w:hAnsi="宋体" w:cs="宋体"/>
                <w:color w:val="000000"/>
                <w:sz w:val="21"/>
                <w:szCs w:val="21"/>
                <w:highlight w:val="none"/>
              </w:rPr>
              <w:t>平方左右，办公场所面积</w:t>
            </w:r>
            <w:r>
              <w:rPr>
                <w:rFonts w:hint="eastAsia" w:ascii="宋体" w:hAnsi="宋体" w:cs="宋体"/>
                <w:color w:val="000000"/>
                <w:sz w:val="21"/>
                <w:szCs w:val="21"/>
                <w:highlight w:val="none"/>
                <w:lang w:val="en-US" w:eastAsia="zh-CN"/>
              </w:rPr>
              <w:t>210</w:t>
            </w:r>
            <w:r>
              <w:rPr>
                <w:rFonts w:hint="eastAsia" w:ascii="宋体" w:hAnsi="宋体" w:cs="宋体"/>
                <w:color w:val="000000"/>
                <w:sz w:val="21"/>
                <w:szCs w:val="21"/>
                <w:highlight w:val="none"/>
              </w:rPr>
              <w:t>平方。主要</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rPr>
              <w:t>设备包括：</w:t>
            </w:r>
            <w:r>
              <w:rPr>
                <w:rFonts w:hint="eastAsia" w:ascii="宋体" w:hAnsi="宋体"/>
                <w:sz w:val="21"/>
                <w:szCs w:val="21"/>
              </w:rPr>
              <w:t>手动工具、装配台、电批、电烙铁、示波器、贴片机、电脑、打印机等</w:t>
            </w:r>
            <w:r>
              <w:rPr>
                <w:rFonts w:hint="eastAsia" w:ascii="宋体" w:hAnsi="宋体" w:cs="宋体"/>
                <w:color w:val="000000"/>
                <w:sz w:val="21"/>
                <w:szCs w:val="21"/>
              </w:rPr>
              <w:t>等，可以满足生产需要。生产部对设备按月方式进行点检维护保养，并实施。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 w:val="21"/>
                <w:szCs w:val="21"/>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 w:val="21"/>
                <w:szCs w:val="21"/>
              </w:rPr>
            </w:pPr>
            <w:r>
              <w:rPr>
                <w:rFonts w:hint="eastAsia" w:ascii="宋体" w:hAnsi="宋体" w:cs="宋体"/>
                <w:color w:val="000000"/>
                <w:sz w:val="21"/>
                <w:szCs w:val="21"/>
              </w:rPr>
              <w:t>产品运输交由物流公司进行，公司未建立信息管理系统用于生产和服务</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hAnsi="宋体"/>
                <w:b/>
                <w:sz w:val="21"/>
                <w:szCs w:val="21"/>
              </w:rPr>
            </w:pPr>
            <w:r>
              <w:rPr>
                <w:rFonts w:hint="eastAsia" w:ascii="宋体" w:hAnsi="宋体" w:cs="宋体"/>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监视和测量资源</w:t>
            </w:r>
          </w:p>
          <w:p>
            <w:pPr>
              <w:spacing w:line="400" w:lineRule="exact"/>
              <w:rPr>
                <w:rFonts w:ascii="宋体" w:hAnsi="宋体"/>
                <w:b/>
                <w:sz w:val="21"/>
                <w:szCs w:val="21"/>
              </w:rPr>
            </w:pPr>
            <w:r>
              <w:rPr>
                <w:rFonts w:hint="eastAsia" w:ascii="宋体" w:hAnsi="宋体" w:cs="宋体"/>
                <w:color w:val="000000"/>
                <w:sz w:val="21"/>
                <w:szCs w:val="21"/>
              </w:rPr>
              <w:t>生产车间及检验部门均按策划的要求配置了相应的检测设备，均采用委外送检。抽在用检具的检定或校准证书，能提供有效检定或校准证据,具体见附件</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环保设施：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职业健康安全设施：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6"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vAlign w:val="top"/>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rFonts w:hint="eastAsia"/>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hint="eastAsia" w:ascii="宋体" w:hAnsi="宋体" w:cs="宋体"/>
                <w:color w:val="000000"/>
                <w:sz w:val="21"/>
                <w:szCs w:val="21"/>
                <w:lang w:eastAsia="zh-CN"/>
              </w:rPr>
              <w:t>。</w:t>
            </w:r>
            <w:r>
              <w:rPr>
                <w:rFonts w:ascii="楷体_GB2312" w:eastAsia="楷体_GB2312"/>
                <w:b/>
                <w:szCs w:val="21"/>
              </w:rPr>
              <w:t xml:space="preserve">                </w:t>
            </w:r>
          </w:p>
          <w:p>
            <w:pPr>
              <w:spacing w:line="240" w:lineRule="exact"/>
              <w:rPr>
                <w:rFonts w:hint="eastAsia" w:ascii="楷体_GB2312" w:eastAsia="楷体_GB2312"/>
                <w:b/>
                <w:szCs w:val="21"/>
                <w:lang w:eastAsia="zh-CN"/>
              </w:rPr>
            </w:pPr>
            <w:r>
              <w:rPr>
                <w:rFonts w:hint="eastAsia" w:ascii="楷体_GB2312" w:eastAsia="楷体_GB2312"/>
                <w:b/>
                <w:szCs w:val="21"/>
              </w:rPr>
              <w:t>内部沟通的效果：</w:t>
            </w:r>
            <w:r>
              <w:rPr>
                <w:rFonts w:hint="eastAsia" w:ascii="宋体" w:hAnsi="宋体" w:cs="宋体"/>
                <w:color w:val="000000"/>
                <w:sz w:val="21"/>
                <w:szCs w:val="21"/>
                <w:lang w:eastAsia="zh-CN"/>
              </w:rPr>
              <w:t>良好</w:t>
            </w:r>
          </w:p>
          <w:p>
            <w:pPr>
              <w:spacing w:line="240" w:lineRule="exact"/>
              <w:rPr>
                <w:rFonts w:ascii="楷体_GB2312" w:eastAsia="楷体_GB2312"/>
                <w:b/>
                <w:szCs w:val="21"/>
              </w:rPr>
            </w:pPr>
          </w:p>
          <w:p>
            <w:pPr>
              <w:spacing w:line="240" w:lineRule="exact"/>
              <w:rPr>
                <w:rFonts w:hint="default" w:ascii="楷体_GB2312" w:eastAsia="楷体_GB2312"/>
                <w:b/>
                <w:szCs w:val="21"/>
                <w:lang w:val="en-US" w:eastAsia="zh-CN"/>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lang w:eastAsia="zh-CN"/>
              </w:rPr>
              <w:t>采取电话、</w:t>
            </w:r>
            <w:r>
              <w:rPr>
                <w:rFonts w:hint="eastAsia" w:ascii="宋体" w:hAnsi="宋体" w:cs="宋体"/>
                <w:color w:val="000000"/>
                <w:sz w:val="21"/>
                <w:szCs w:val="21"/>
                <w:lang w:val="en-US" w:eastAsia="zh-CN"/>
              </w:rPr>
              <w:t>QQ及</w:t>
            </w:r>
            <w:r>
              <w:rPr>
                <w:rFonts w:hint="eastAsia" w:ascii="宋体" w:hAnsi="宋体" w:cs="宋体"/>
                <w:color w:val="000000"/>
                <w:sz w:val="21"/>
                <w:szCs w:val="21"/>
              </w:rPr>
              <w:t>不定期回访用户</w:t>
            </w:r>
            <w:r>
              <w:rPr>
                <w:rFonts w:hint="eastAsia" w:ascii="宋体" w:hAnsi="宋体" w:cs="宋体"/>
                <w:color w:val="000000"/>
                <w:sz w:val="21"/>
                <w:szCs w:val="21"/>
                <w:lang w:eastAsia="zh-CN"/>
              </w:rPr>
              <w:t>的方式</w:t>
            </w:r>
            <w:r>
              <w:rPr>
                <w:rFonts w:hint="eastAsia" w:ascii="宋体" w:hAnsi="宋体" w:cs="宋体"/>
                <w:color w:val="000000"/>
                <w:sz w:val="21"/>
                <w:szCs w:val="21"/>
              </w:rPr>
              <w:t>了解相关信息等，对顾客反馈问题</w:t>
            </w:r>
            <w:r>
              <w:rPr>
                <w:rFonts w:hint="eastAsia" w:ascii="宋体" w:hAnsi="宋体" w:cs="宋体"/>
                <w:color w:val="000000"/>
                <w:sz w:val="21"/>
                <w:szCs w:val="21"/>
                <w:lang w:eastAsia="zh-CN"/>
              </w:rPr>
              <w:t>进行</w:t>
            </w:r>
            <w:r>
              <w:rPr>
                <w:rFonts w:hint="eastAsia" w:ascii="宋体" w:hAnsi="宋体" w:cs="宋体"/>
                <w:color w:val="000000"/>
                <w:sz w:val="21"/>
                <w:szCs w:val="21"/>
              </w:rPr>
              <w:t>解答。针对存在的问题及时进行处理。定期发放顾客满意度调查，了解顾客满意或不满意的信息，并积极应对，确保顾客满意</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hint="eastAsia" w:ascii="宋体" w:hAnsi="宋体" w:cs="宋体"/>
                <w:color w:val="000000"/>
                <w:sz w:val="21"/>
                <w:szCs w:val="21"/>
                <w:lang w:eastAsia="zh-CN"/>
              </w:rPr>
            </w:pPr>
            <w:r>
              <w:rPr>
                <w:rFonts w:hint="eastAsia"/>
                <w:b/>
                <w:color w:val="000000"/>
                <w:sz w:val="20"/>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制定并实施了产品检验控制规定，规定了公司各管理层次和品质</w:t>
            </w:r>
            <w:r>
              <w:rPr>
                <w:rFonts w:hint="eastAsia" w:ascii="宋体" w:hAnsi="宋体" w:cs="宋体"/>
                <w:color w:val="000000"/>
                <w:sz w:val="21"/>
                <w:szCs w:val="21"/>
                <w:lang w:eastAsia="zh-CN"/>
              </w:rPr>
              <w:t>检测</w:t>
            </w:r>
            <w:r>
              <w:rPr>
                <w:rFonts w:hint="eastAsia" w:ascii="宋体" w:hAnsi="宋体" w:cs="宋体"/>
                <w:color w:val="000000"/>
                <w:sz w:val="21"/>
                <w:szCs w:val="21"/>
              </w:rPr>
              <w:t>部</w:t>
            </w:r>
            <w:r>
              <w:rPr>
                <w:rFonts w:hint="eastAsia" w:ascii="宋体" w:hAnsi="宋体" w:cs="宋体"/>
                <w:color w:val="000000"/>
                <w:sz w:val="21"/>
                <w:szCs w:val="21"/>
                <w:lang w:eastAsia="zh-CN"/>
              </w:rPr>
              <w:t>门</w:t>
            </w:r>
            <w:r>
              <w:rPr>
                <w:rFonts w:hint="eastAsia" w:ascii="宋体" w:hAnsi="宋体" w:cs="宋体"/>
                <w:color w:val="000000"/>
                <w:sz w:val="21"/>
                <w:szCs w:val="21"/>
              </w:rPr>
              <w:t>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服务质量实施检查与验收的管理要求。内容基本具备全面性、系统性及可操作性。质量检查与验收均在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予以实现，范围包括：过程、最终产品。</w:t>
            </w:r>
            <w:r>
              <w:rPr>
                <w:rFonts w:hint="eastAsia" w:ascii="宋体" w:hAnsi="宋体" w:cs="宋体"/>
                <w:color w:val="000000"/>
                <w:sz w:val="21"/>
                <w:szCs w:val="21"/>
                <w:lang w:eastAsia="zh-CN"/>
              </w:rPr>
              <w:t>以此保证持续</w:t>
            </w:r>
            <w:r>
              <w:rPr>
                <w:rFonts w:hint="eastAsia" w:ascii="宋体" w:hAnsi="宋体" w:cs="宋体"/>
                <w:color w:val="000000"/>
                <w:sz w:val="21"/>
                <w:szCs w:val="21"/>
              </w:rPr>
              <w:t>向顾客稳定提供</w:t>
            </w:r>
            <w:r>
              <w:rPr>
                <w:rFonts w:hint="eastAsia" w:ascii="宋体" w:hAnsi="宋体" w:cs="宋体"/>
                <w:color w:val="000000"/>
                <w:sz w:val="21"/>
                <w:szCs w:val="21"/>
                <w:lang w:eastAsia="zh-CN"/>
              </w:rPr>
              <w:t>稳定</w:t>
            </w:r>
            <w:r>
              <w:rPr>
                <w:rFonts w:hint="eastAsia" w:ascii="宋体" w:hAnsi="宋体" w:cs="宋体"/>
                <w:color w:val="000000"/>
                <w:sz w:val="21"/>
                <w:szCs w:val="21"/>
              </w:rPr>
              <w:t>合格</w:t>
            </w:r>
            <w:r>
              <w:rPr>
                <w:rFonts w:hint="eastAsia" w:ascii="宋体" w:hAnsi="宋体" w:cs="宋体"/>
                <w:color w:val="000000"/>
                <w:sz w:val="21"/>
                <w:szCs w:val="21"/>
                <w:lang w:eastAsia="zh-CN"/>
              </w:rPr>
              <w:t>的</w:t>
            </w:r>
            <w:r>
              <w:rPr>
                <w:rFonts w:hint="eastAsia" w:ascii="宋体" w:hAnsi="宋体" w:cs="宋体"/>
                <w:color w:val="000000"/>
                <w:sz w:val="21"/>
                <w:szCs w:val="21"/>
              </w:rPr>
              <w:t>产品</w:t>
            </w:r>
            <w:r>
              <w:rPr>
                <w:rFonts w:hint="eastAsia" w:ascii="宋体" w:hAnsi="宋体" w:cs="宋体"/>
                <w:color w:val="000000"/>
                <w:sz w:val="21"/>
                <w:szCs w:val="21"/>
                <w:lang w:eastAsia="zh-CN"/>
              </w:rPr>
              <w:t>。</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00" w:lineRule="exact"/>
              <w:ind w:firstLine="197" w:firstLineChars="98"/>
              <w:rPr>
                <w:rFonts w:hint="eastAsia"/>
                <w:b/>
                <w:color w:val="000000"/>
                <w:sz w:val="20"/>
                <w:lang w:eastAsia="zh-CN"/>
              </w:rPr>
            </w:pPr>
            <w:r>
              <w:rPr>
                <w:rFonts w:hint="eastAsia"/>
                <w:b/>
                <w:color w:val="000000"/>
                <w:sz w:val="20"/>
                <w:lang w:eastAsia="zh-CN"/>
              </w:rPr>
              <w:t>无</w:t>
            </w:r>
          </w:p>
          <w:p>
            <w:pPr>
              <w:spacing w:line="300" w:lineRule="exact"/>
              <w:ind w:firstLine="197" w:firstLineChars="98"/>
              <w:rPr>
                <w:rFonts w:ascii="宋体" w:hAnsi="宋体"/>
                <w:b/>
                <w:sz w:val="21"/>
                <w:szCs w:val="21"/>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rFonts w:ascii="宋体" w:hAnsi="宋体"/>
                <w:b/>
                <w:sz w:val="21"/>
                <w:szCs w:val="21"/>
              </w:rPr>
            </w:pPr>
            <w:r>
              <w:rPr>
                <w:rFonts w:hint="eastAsia" w:ascii="宋体" w:hAnsi="宋体" w:eastAsia="宋体" w:cs="宋体"/>
                <w:sz w:val="21"/>
                <w:szCs w:val="21"/>
                <w:lang w:val="en-US" w:eastAsia="zh-CN"/>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1"/>
              </w:numPr>
              <w:spacing w:line="240" w:lineRule="exact"/>
              <w:rPr>
                <w:rFonts w:hint="eastAsia"/>
                <w:b/>
                <w:szCs w:val="21"/>
              </w:rPr>
            </w:pPr>
            <w:r>
              <w:rPr>
                <w:b/>
                <w:szCs w:val="21"/>
              </w:rPr>
              <w:t xml:space="preserve">OHS </w:t>
            </w:r>
            <w:r>
              <w:rPr>
                <w:rFonts w:hint="eastAsia"/>
                <w:b/>
                <w:szCs w:val="21"/>
              </w:rPr>
              <w:t>组织对不可接受风险实施控制的结果</w:t>
            </w:r>
          </w:p>
          <w:p>
            <w:pPr>
              <w:numPr>
                <w:ilvl w:val="0"/>
                <w:numId w:val="0"/>
              </w:numPr>
              <w:spacing w:line="240" w:lineRule="exact"/>
              <w:ind w:left="0" w:leftChars="0" w:firstLine="0" w:firstLineChars="0"/>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41" w:hanging="241" w:hangingChars="100"/>
              <w:rPr>
                <w:b/>
                <w:szCs w:val="21"/>
              </w:rPr>
            </w:pPr>
            <w:r>
              <w:rPr>
                <w:b/>
                <w:szCs w:val="21"/>
              </w:rPr>
              <w:t xml:space="preserve">9. </w:t>
            </w:r>
            <w:r>
              <w:rPr>
                <w:rFonts w:hint="eastAsia"/>
                <w:b/>
                <w:szCs w:val="21"/>
              </w:rPr>
              <w:t>应急准备与相应活动的演练及对预案可行性的评价</w:t>
            </w:r>
            <w:r>
              <w:rPr>
                <w:b/>
                <w:szCs w:val="21"/>
              </w:rPr>
              <w:t>(</w:t>
            </w:r>
            <w:r>
              <w:rPr>
                <w:rFonts w:hint="eastAsia"/>
                <w:b/>
                <w:szCs w:val="21"/>
              </w:rPr>
              <w:t>当有规定时</w:t>
            </w:r>
            <w:r>
              <w:rPr>
                <w:b/>
                <w:szCs w:val="21"/>
              </w:rPr>
              <w:t xml:space="preserve">) </w:t>
            </w:r>
          </w:p>
          <w:p>
            <w:pPr>
              <w:spacing w:line="240" w:lineRule="exact"/>
              <w:rPr>
                <w:rFonts w:ascii="宋体" w:hAnsi="宋体"/>
                <w:b/>
                <w:sz w:val="21"/>
                <w:szCs w:val="21"/>
              </w:rPr>
            </w:pPr>
            <w:r>
              <w:rPr>
                <w:rFonts w:hint="eastAsia"/>
                <w:b/>
                <w:spacing w:val="-4"/>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spacing w:line="360" w:lineRule="auto"/>
              <w:rPr>
                <w:rFonts w:ascii="宋体" w:hAnsi="宋体"/>
                <w:b/>
                <w:sz w:val="21"/>
                <w:szCs w:val="21"/>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leftChars="0" w:right="113" w:rightChars="0"/>
              <w:jc w:val="center"/>
              <w:rPr>
                <w:rFonts w:ascii="宋体" w:hAnsi="宋体"/>
                <w:b/>
                <w:szCs w:val="21"/>
              </w:rPr>
            </w:pPr>
            <w:r>
              <w:rPr>
                <w:b/>
                <w:szCs w:val="21"/>
              </w:rPr>
              <w:t>(</w:t>
            </w:r>
            <w:r>
              <w:rPr>
                <w:rFonts w:hint="eastAsia"/>
                <w:b/>
                <w:szCs w:val="21"/>
              </w:rPr>
              <w:t>四</w:t>
            </w:r>
            <w:r>
              <w:rPr>
                <w:b/>
                <w:szCs w:val="21"/>
              </w:rPr>
              <w:t>)</w:t>
            </w:r>
            <w:r>
              <w:rPr>
                <w:rFonts w:hint="eastAsia"/>
                <w:b/>
                <w:szCs w:val="21"/>
              </w:rPr>
              <w:t>监视测量方面</w:t>
            </w:r>
          </w:p>
        </w:tc>
        <w:tc>
          <w:tcPr>
            <w:tcW w:w="9198" w:type="dxa"/>
            <w:vAlign w:val="top"/>
          </w:tcPr>
          <w:p>
            <w:pPr>
              <w:spacing w:line="360" w:lineRule="auto"/>
              <w:rPr>
                <w:rFonts w:hint="eastAsia" w:ascii="宋体" w:hAnsi="宋体" w:cs="宋体"/>
                <w:color w:val="000000"/>
                <w:sz w:val="21"/>
                <w:szCs w:val="21"/>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000000"/>
                <w:sz w:val="21"/>
                <w:szCs w:val="21"/>
                <w:lang w:val="en-US" w:eastAsia="zh-CN"/>
              </w:rPr>
              <w:t>2019年1</w:t>
            </w:r>
            <w:r>
              <w:rPr>
                <w:rFonts w:hint="eastAsia" w:ascii="宋体" w:hAnsi="宋体" w:cs="宋体"/>
                <w:color w:val="000000"/>
                <w:sz w:val="21"/>
                <w:szCs w:val="21"/>
              </w:rPr>
              <w:t>-</w:t>
            </w:r>
            <w:r>
              <w:rPr>
                <w:rFonts w:hint="eastAsia" w:ascii="宋体" w:hAnsi="宋体" w:cs="宋体"/>
                <w:color w:val="000000"/>
                <w:sz w:val="21"/>
                <w:szCs w:val="21"/>
                <w:lang w:val="en-US" w:eastAsia="zh-CN"/>
              </w:rPr>
              <w:t>8</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numPr>
                <w:ilvl w:val="0"/>
                <w:numId w:val="2"/>
              </w:numPr>
              <w:spacing w:line="240" w:lineRule="exact"/>
              <w:ind w:left="100" w:hanging="100" w:hangingChars="50"/>
              <w:rPr>
                <w:rFonts w:hint="eastAsia"/>
                <w:b/>
                <w:color w:val="000000"/>
                <w:sz w:val="20"/>
              </w:rPr>
            </w:pPr>
            <w:r>
              <w:rPr>
                <w:rFonts w:hint="eastAsia"/>
                <w:b/>
                <w:color w:val="000000"/>
                <w:sz w:val="20"/>
              </w:rPr>
              <w:t>顾客满意</w:t>
            </w:r>
          </w:p>
          <w:p>
            <w:pPr>
              <w:numPr>
                <w:ilvl w:val="0"/>
                <w:numId w:val="0"/>
              </w:num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w:t>
            </w:r>
            <w:r>
              <w:rPr>
                <w:rFonts w:hint="eastAsia" w:ascii="宋体" w:hAnsi="宋体" w:cs="宋体"/>
                <w:color w:val="000000"/>
                <w:sz w:val="21"/>
                <w:szCs w:val="21"/>
                <w:lang w:eastAsia="zh-CN"/>
              </w:rPr>
              <w:t>但</w:t>
            </w:r>
            <w:r>
              <w:rPr>
                <w:rFonts w:hint="eastAsia" w:ascii="宋体" w:hAnsi="宋体" w:cs="宋体"/>
                <w:color w:val="000000"/>
                <w:sz w:val="21"/>
                <w:szCs w:val="21"/>
              </w:rPr>
              <w:t>在顾客反馈信息的利用上不够</w:t>
            </w:r>
            <w:r>
              <w:rPr>
                <w:rFonts w:hint="eastAsia" w:ascii="宋体" w:hAnsi="宋体" w:cs="宋体"/>
                <w:color w:val="000000"/>
                <w:sz w:val="21"/>
                <w:szCs w:val="21"/>
                <w:lang w:eastAsia="zh-CN"/>
              </w:rPr>
              <w:t>，</w:t>
            </w:r>
            <w:r>
              <w:rPr>
                <w:rFonts w:hint="eastAsia" w:ascii="宋体" w:hAnsi="宋体" w:cs="宋体"/>
                <w:color w:val="000000"/>
                <w:sz w:val="21"/>
                <w:szCs w:val="21"/>
              </w:rPr>
              <w:t>需要改善</w:t>
            </w:r>
            <w:r>
              <w:rPr>
                <w:rFonts w:hint="eastAsia" w:ascii="宋体" w:hAnsi="宋体" w:cs="宋体"/>
                <w:color w:val="000000"/>
                <w:sz w:val="21"/>
                <w:szCs w:val="21"/>
                <w:lang w:eastAsia="zh-CN"/>
              </w:rPr>
              <w:t>。</w:t>
            </w:r>
            <w:r>
              <w:rPr>
                <w:rFonts w:hint="eastAsia" w:ascii="宋体" w:hAnsi="宋体" w:cs="宋体"/>
                <w:color w:val="000000"/>
                <w:sz w:val="21"/>
                <w:szCs w:val="21"/>
              </w:rPr>
              <w:t>近年来未发生重大顾客投诉和产品质量事故。顾客满意度</w:t>
            </w:r>
            <w:r>
              <w:rPr>
                <w:rFonts w:hint="eastAsia" w:ascii="宋体" w:hAnsi="宋体" w:cs="宋体"/>
                <w:color w:val="000000"/>
                <w:sz w:val="21"/>
                <w:szCs w:val="21"/>
                <w:highlight w:val="none"/>
              </w:rPr>
              <w:t>调查按规定实施，201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月实施，满意度评价9</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pPr>
              <w:numPr>
                <w:ilvl w:val="0"/>
                <w:numId w:val="0"/>
              </w:numPr>
              <w:spacing w:line="240" w:lineRule="exact"/>
              <w:ind w:leftChars="-50" w:firstLine="420" w:firstLineChars="200"/>
              <w:rPr>
                <w:rFonts w:hint="eastAsia" w:ascii="宋体" w:hAnsi="宋体" w:cs="宋体"/>
                <w:color w:val="000000"/>
                <w:sz w:val="21"/>
                <w:szCs w:val="21"/>
                <w:highlight w:val="none"/>
              </w:rPr>
            </w:pPr>
          </w:p>
          <w:p>
            <w:pPr>
              <w:numPr>
                <w:ilvl w:val="0"/>
                <w:numId w:val="0"/>
              </w:num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highlight w:val="none"/>
              </w:rPr>
              <w:t>建立有《内部审核控制程序》，规定了内审频次一年一次，内审时间：201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5.25</w:t>
            </w:r>
            <w:r>
              <w:rPr>
                <w:rFonts w:hint="eastAsia" w:ascii="宋体" w:hAnsi="宋体" w:cs="宋体"/>
                <w:color w:val="000000"/>
                <w:sz w:val="21"/>
                <w:szCs w:val="21"/>
                <w:highlight w:val="none"/>
              </w:rPr>
              <w:t>，拟定了审核实施表，明确了内审范围，内审人员经培训合格上岗，能力满足要求，未出现审核本部门情况，内审不符合项1项， 涉及</w:t>
            </w:r>
            <w:r>
              <w:rPr>
                <w:rFonts w:hint="eastAsia" w:ascii="宋体" w:hAnsi="宋体" w:cs="宋体"/>
                <w:color w:val="000000"/>
                <w:sz w:val="21"/>
                <w:szCs w:val="21"/>
                <w:highlight w:val="none"/>
                <w:lang w:eastAsia="zh-CN"/>
              </w:rPr>
              <w:t>市场部，</w:t>
            </w:r>
            <w:r>
              <w:rPr>
                <w:rFonts w:hint="eastAsia" w:ascii="宋体" w:hAnsi="宋体" w:cs="宋体"/>
                <w:color w:val="000000"/>
                <w:sz w:val="21"/>
                <w:szCs w:val="21"/>
                <w:highlight w:val="none"/>
              </w:rPr>
              <w:t>标准</w:t>
            </w:r>
            <w:r>
              <w:rPr>
                <w:rFonts w:hint="eastAsia" w:ascii="宋体" w:hAnsi="宋体" w:cs="宋体"/>
                <w:color w:val="000000"/>
                <w:sz w:val="21"/>
                <w:szCs w:val="21"/>
                <w:highlight w:val="none"/>
                <w:lang w:val="en-US" w:eastAsia="zh-CN"/>
              </w:rPr>
              <w:t>8.2.3</w:t>
            </w:r>
            <w:r>
              <w:rPr>
                <w:rFonts w:hint="eastAsia" w:ascii="宋体" w:hAnsi="宋体" w:cs="宋体"/>
                <w:color w:val="000000"/>
                <w:sz w:val="21"/>
                <w:szCs w:val="21"/>
                <w:highlight w:val="none"/>
              </w:rPr>
              <w:t>条款，</w:t>
            </w:r>
            <w:r>
              <w:rPr>
                <w:rFonts w:hint="eastAsia" w:ascii="宋体" w:hAnsi="宋体" w:cs="宋体"/>
                <w:color w:val="000000"/>
                <w:sz w:val="21"/>
                <w:szCs w:val="21"/>
                <w:highlight w:val="none"/>
                <w:lang w:eastAsia="zh-CN"/>
              </w:rPr>
              <w:t>查见市场部未对顾客方</w:t>
            </w:r>
            <w:r>
              <w:rPr>
                <w:rFonts w:hint="eastAsia" w:ascii="宋体" w:hAnsi="宋体" w:cs="宋体"/>
                <w:color w:val="000000"/>
                <w:sz w:val="21"/>
                <w:szCs w:val="21"/>
                <w:highlight w:val="none"/>
                <w:lang w:val="en-US" w:eastAsia="zh-CN"/>
              </w:rPr>
              <w:t>湖南省湘筑交通科技有限公司的合同评审证据</w:t>
            </w:r>
            <w:r>
              <w:rPr>
                <w:rFonts w:hint="eastAsia" w:ascii="宋体" w:hAnsi="宋体" w:cs="宋体"/>
                <w:color w:val="000000"/>
                <w:sz w:val="21"/>
                <w:szCs w:val="21"/>
                <w:highlight w:val="none"/>
                <w:lang w:eastAsia="zh-CN"/>
              </w:rPr>
              <w:t>，针对该不符合项，已及时采取纠正措施</w:t>
            </w:r>
            <w:r>
              <w:rPr>
                <w:rFonts w:hint="eastAsia" w:ascii="宋体" w:hAnsi="宋体" w:cs="宋体"/>
                <w:color w:val="000000"/>
                <w:sz w:val="21"/>
                <w:szCs w:val="21"/>
                <w:highlight w:val="none"/>
              </w:rPr>
              <w:t>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pPr>
              <w:spacing w:line="240" w:lineRule="exact"/>
              <w:rPr>
                <w:rFonts w:ascii="宋体" w:hAnsi="宋体"/>
                <w:b/>
                <w:sz w:val="21"/>
                <w:szCs w:val="21"/>
              </w:rPr>
            </w:pPr>
            <w:r>
              <w:rPr>
                <w:rFonts w:hint="eastAsia"/>
                <w:b/>
                <w:color w:val="000000"/>
                <w:sz w:val="20"/>
                <w:lang w:val="en-US" w:eastAsia="zh-CN"/>
              </w:rPr>
              <w:t xml:space="preserve">    </w:t>
            </w:r>
            <w:r>
              <w:rPr>
                <w:rFonts w:hint="eastAsia" w:ascii="宋体" w:hAnsi="宋体" w:cs="宋体"/>
                <w:color w:val="000000"/>
                <w:sz w:val="21"/>
                <w:szCs w:val="21"/>
              </w:rPr>
              <w:t>管理评审频次为一年一次、</w:t>
            </w:r>
            <w:r>
              <w:rPr>
                <w:rFonts w:hint="eastAsia" w:ascii="宋体" w:hAnsi="宋体" w:cs="宋体"/>
                <w:color w:val="000000"/>
                <w:sz w:val="21"/>
                <w:szCs w:val="21"/>
                <w:lang w:eastAsia="zh-CN"/>
              </w:rPr>
              <w:t>本次</w:t>
            </w:r>
            <w:r>
              <w:rPr>
                <w:rFonts w:hint="eastAsia" w:ascii="宋体" w:hAnsi="宋体" w:cs="宋体"/>
                <w:color w:val="000000"/>
                <w:sz w:val="21"/>
                <w:szCs w:val="21"/>
              </w:rPr>
              <w:t>管</w:t>
            </w:r>
            <w:r>
              <w:rPr>
                <w:rFonts w:hint="eastAsia" w:ascii="宋体" w:hAnsi="宋体" w:cs="宋体"/>
                <w:color w:val="000000"/>
                <w:sz w:val="21"/>
                <w:szCs w:val="21"/>
                <w:highlight w:val="none"/>
              </w:rPr>
              <w:t>理评审于</w:t>
            </w:r>
            <w:r>
              <w:rPr>
                <w:rFonts w:hint="eastAsia" w:ascii="宋体" w:hAnsi="宋体" w:cs="宋体"/>
                <w:color w:val="000000"/>
                <w:sz w:val="21"/>
                <w:szCs w:val="21"/>
                <w:highlight w:val="none"/>
                <w:lang w:val="en-US" w:eastAsia="zh-CN"/>
              </w:rPr>
              <w:t>2019年6月10日</w:t>
            </w:r>
            <w:r>
              <w:rPr>
                <w:rFonts w:hint="eastAsia" w:ascii="宋体" w:hAnsi="宋体" w:cs="宋体"/>
                <w:color w:val="000000"/>
                <w:sz w:val="21"/>
                <w:szCs w:val="21"/>
                <w:highlight w:val="none"/>
              </w:rPr>
              <w:t>由总经理主持完成、提供主要输入材料有各部门总结，输入信息基本充分和满足要求。输出见“管理评审报告”, 做出了管理体系基本适宜、充分和有效的评审结论，</w:t>
            </w:r>
            <w:r>
              <w:rPr>
                <w:rFonts w:hint="eastAsia" w:ascii="宋体" w:hAnsi="宋体" w:cs="宋体"/>
                <w:color w:val="000000"/>
                <w:sz w:val="21"/>
                <w:szCs w:val="21"/>
                <w:highlight w:val="none"/>
                <w:lang w:eastAsia="zh-CN"/>
              </w:rPr>
              <w:t>对上次</w:t>
            </w:r>
            <w:r>
              <w:rPr>
                <w:rFonts w:hint="eastAsia" w:ascii="宋体" w:hAnsi="宋体" w:cs="宋体"/>
                <w:color w:val="000000"/>
                <w:sz w:val="21"/>
                <w:szCs w:val="21"/>
                <w:highlight w:val="none"/>
              </w:rPr>
              <w:t>管理评审</w:t>
            </w:r>
            <w:r>
              <w:rPr>
                <w:rFonts w:hint="eastAsia" w:ascii="宋体" w:hAnsi="宋体" w:cs="宋体"/>
                <w:color w:val="000000"/>
                <w:sz w:val="21"/>
                <w:szCs w:val="21"/>
                <w:highlight w:val="none"/>
                <w:lang w:eastAsia="zh-CN"/>
              </w:rPr>
              <w:t>提出的改进措施验证有效实施</w:t>
            </w:r>
            <w:r>
              <w:rPr>
                <w:rFonts w:hint="eastAsia" w:ascii="宋体" w:hAnsi="宋体" w:cs="宋体"/>
                <w:color w:val="000000"/>
                <w:sz w:val="21"/>
                <w:szCs w:val="21"/>
                <w:highlight w:val="none"/>
              </w:rPr>
              <w:t>。管理评审的</w:t>
            </w:r>
            <w:r>
              <w:rPr>
                <w:rFonts w:hint="eastAsia" w:ascii="宋体" w:hAnsi="宋体" w:cs="宋体"/>
                <w:color w:val="000000"/>
                <w:sz w:val="21"/>
                <w:szCs w:val="21"/>
              </w:rPr>
              <w:t>输出不具体，需要改善</w:t>
            </w:r>
            <w:r>
              <w:rPr>
                <w:rFonts w:hint="eastAsia" w:ascii="宋体" w:hAnsi="宋体"/>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hint="eastAsia" w:ascii="宋体" w:hAnsi="宋体"/>
                <w:b/>
                <w:sz w:val="20"/>
              </w:rPr>
            </w:pPr>
            <w:r>
              <w:rPr>
                <w:rFonts w:hint="eastAsia" w:ascii="宋体" w:hAnsi="宋体"/>
                <w:b/>
                <w:sz w:val="20"/>
                <w:lang w:val="en-US" w:eastAsia="zh-CN"/>
              </w:rPr>
              <w:t>5.</w:t>
            </w:r>
            <w:r>
              <w:rPr>
                <w:rFonts w:ascii="宋体" w:hAnsi="宋体"/>
                <w:b/>
                <w:sz w:val="20"/>
              </w:rPr>
              <w:t xml:space="preserve"> EMS</w:t>
            </w:r>
            <w:r>
              <w:rPr>
                <w:rFonts w:hint="eastAsia" w:ascii="宋体" w:hAnsi="宋体"/>
                <w:b/>
                <w:sz w:val="20"/>
              </w:rPr>
              <w:t>是否按规定对主要污染物（污水、废气、噪声、废渣等）及排放实施了例行的监视或测量，结果是否满足相关要求？</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ascii="宋体" w:hAnsi="宋体"/>
                <w:b/>
                <w:sz w:val="20"/>
              </w:rPr>
            </w:pPr>
            <w:r>
              <w:rPr>
                <w:rFonts w:hint="eastAsia" w:ascii="宋体" w:hAnsi="宋体"/>
                <w:b/>
                <w:sz w:val="20"/>
                <w:lang w:val="en-US" w:eastAsia="zh-CN"/>
              </w:rPr>
              <w:t>6.</w:t>
            </w:r>
            <w:r>
              <w:rPr>
                <w:rFonts w:ascii="宋体" w:hAnsi="宋体"/>
                <w:b/>
                <w:sz w:val="20"/>
              </w:rPr>
              <w:t xml:space="preserve">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0" w:hanging="100" w:hangingChars="50"/>
              <w:rPr>
                <w:rFonts w:ascii="宋体"/>
                <w:b/>
                <w:sz w:val="20"/>
              </w:rPr>
            </w:pPr>
            <w:r>
              <w:rPr>
                <w:rFonts w:ascii="宋体" w:hAnsi="宋体"/>
                <w:b/>
                <w:sz w:val="20"/>
              </w:rPr>
              <w:t>7.OHSMS</w:t>
            </w:r>
            <w:r>
              <w:rPr>
                <w:rFonts w:hint="eastAsia" w:ascii="宋体" w:hAnsi="宋体"/>
                <w:b/>
                <w:sz w:val="20"/>
              </w:rPr>
              <w:t>是否按规定对职业健康安全项目进行定期测量，结果是否满足相关要求：</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r>
              <w:rPr>
                <w:rFonts w:hint="eastAsia"/>
                <w:b/>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vAlign w:val="top"/>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rFonts w:hint="eastAsia" w:eastAsia="宋体"/>
                <w:b/>
                <w:spacing w:val="-20"/>
                <w:szCs w:val="21"/>
                <w:lang w:eastAsia="zh-CN"/>
              </w:rPr>
            </w:pPr>
            <w:r>
              <w:rPr>
                <w:rFonts w:hint="eastAsia"/>
                <w:b/>
                <w:spacing w:val="-20"/>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720" w:type="dxa"/>
            <w:vMerge w:val="restart"/>
            <w:vAlign w:val="center"/>
          </w:tcPr>
          <w:p>
            <w:pPr>
              <w:spacing w:line="240" w:lineRule="exact"/>
              <w:jc w:val="center"/>
              <w:rPr>
                <w:b/>
                <w:sz w:val="20"/>
              </w:rPr>
            </w:pPr>
          </w:p>
        </w:tc>
        <w:tc>
          <w:tcPr>
            <w:tcW w:w="9198" w:type="dxa"/>
            <w:vAlign w:val="top"/>
          </w:tcPr>
          <w:p>
            <w:pPr>
              <w:numPr>
                <w:ilvl w:val="0"/>
                <w:numId w:val="2"/>
              </w:numPr>
              <w:spacing w:line="240" w:lineRule="exact"/>
              <w:ind w:left="100" w:leftChars="0" w:hanging="100" w:hangingChars="50"/>
              <w:rPr>
                <w:rFonts w:hint="eastAsia"/>
                <w:b/>
                <w:spacing w:val="-20"/>
                <w:szCs w:val="21"/>
              </w:rPr>
            </w:pPr>
            <w:r>
              <w:rPr>
                <w:rFonts w:hint="eastAsia"/>
                <w:b/>
                <w:spacing w:val="-20"/>
                <w:szCs w:val="21"/>
              </w:rPr>
              <w:t>创新情况</w:t>
            </w:r>
          </w:p>
          <w:p>
            <w:pPr>
              <w:numPr>
                <w:ilvl w:val="0"/>
                <w:numId w:val="0"/>
              </w:numPr>
              <w:spacing w:line="240" w:lineRule="exact"/>
              <w:ind w:leftChars="-50"/>
              <w:rPr>
                <w:rFonts w:hint="eastAsia" w:eastAsia="宋体"/>
                <w:b/>
                <w:spacing w:val="-20"/>
                <w:szCs w:val="21"/>
                <w:lang w:eastAsia="zh-CN"/>
              </w:rPr>
            </w:pPr>
            <w:r>
              <w:rPr>
                <w:rFonts w:hint="eastAsia"/>
                <w:b/>
                <w:spacing w:val="-20"/>
                <w:szCs w:val="21"/>
                <w:lang w:eastAsia="zh-CN"/>
              </w:rPr>
              <w:t>无</w:t>
            </w:r>
          </w:p>
          <w:p>
            <w:pPr>
              <w:numPr>
                <w:ilvl w:val="0"/>
                <w:numId w:val="0"/>
              </w:numPr>
              <w:spacing w:line="240" w:lineRule="exact"/>
              <w:ind w:left="-120" w:leftChars="-5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ind w:left="120" w:leftChars="0" w:hanging="120" w:hangingChars="50"/>
              <w:rPr>
                <w:rFonts w:hint="eastAsia"/>
                <w:b/>
                <w:szCs w:val="21"/>
              </w:rPr>
            </w:pPr>
            <w:r>
              <w:rPr>
                <w:rFonts w:hint="eastAsia"/>
                <w:b/>
                <w:szCs w:val="21"/>
              </w:rPr>
              <w:t>上次不符合的整改情况</w:t>
            </w:r>
          </w:p>
          <w:p>
            <w:pPr>
              <w:numPr>
                <w:ilvl w:val="0"/>
                <w:numId w:val="0"/>
              </w:numPr>
              <w:spacing w:line="240" w:lineRule="exact"/>
              <w:ind w:left="-120" w:leftChars="-50" w:firstLine="0" w:firstLineChars="0"/>
              <w:rPr>
                <w:rFonts w:ascii="宋体" w:hAnsi="宋体"/>
                <w:b/>
                <w:sz w:val="21"/>
                <w:szCs w:val="21"/>
              </w:rPr>
            </w:pPr>
            <w:r>
              <w:rPr>
                <w:rFonts w:hint="eastAsia"/>
                <w:b/>
                <w:szCs w:val="21"/>
                <w:lang w:eastAsia="zh-CN"/>
              </w:rPr>
              <w:t>上次不符合为</w:t>
            </w:r>
            <w:r>
              <w:rPr>
                <w:rFonts w:hint="eastAsia"/>
                <w:b/>
                <w:szCs w:val="21"/>
                <w:lang w:val="en-US" w:eastAsia="zh-CN"/>
              </w:rPr>
              <w:t>7.1.5a），经本次审核验证均整改且无类似不符合情况出现。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hint="eastAsia"/>
          <w:b/>
          <w:spacing w:val="-10"/>
          <w:szCs w:val="21"/>
        </w:rPr>
      </w:pPr>
    </w:p>
    <w:p>
      <w:pPr>
        <w:snapToGrid w:val="0"/>
        <w:spacing w:line="360" w:lineRule="auto"/>
        <w:ind w:firstLine="663" w:firstLineChars="300"/>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935" w:firstLineChars="423"/>
        <w:rPr>
          <w:rFonts w:ascii="宋体"/>
          <w:b/>
          <w:szCs w:val="21"/>
        </w:rPr>
      </w:pPr>
      <w:r>
        <w:rPr>
          <w:rFonts w:hint="eastAsia"/>
          <w:b/>
          <w:spacing w:val="-10"/>
          <w:szCs w:val="21"/>
          <w:lang w:eastAsia="zh-CN"/>
        </w:rPr>
        <w:t>□</w:t>
      </w: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2019.09.29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bookmarkStart w:id="30" w:name="_GoBack"/>
      <w:bookmarkEnd w:id="30"/>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52F48"/>
    <w:multiLevelType w:val="singleLevel"/>
    <w:tmpl w:val="ABE52F48"/>
    <w:lvl w:ilvl="0" w:tentative="0">
      <w:start w:val="8"/>
      <w:numFmt w:val="decimal"/>
      <w:suff w:val="space"/>
      <w:lvlText w:val="%1."/>
      <w:lvlJc w:val="left"/>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0610A"/>
    <w:rsid w:val="04B4284B"/>
    <w:rsid w:val="04CD3E5B"/>
    <w:rsid w:val="04DA221A"/>
    <w:rsid w:val="07487185"/>
    <w:rsid w:val="07553F65"/>
    <w:rsid w:val="07766AF5"/>
    <w:rsid w:val="07BD3EEE"/>
    <w:rsid w:val="080E380A"/>
    <w:rsid w:val="0859713F"/>
    <w:rsid w:val="09325EE0"/>
    <w:rsid w:val="097152F4"/>
    <w:rsid w:val="09FD5BD9"/>
    <w:rsid w:val="0B154032"/>
    <w:rsid w:val="0BD63081"/>
    <w:rsid w:val="0CC64A3F"/>
    <w:rsid w:val="1065619C"/>
    <w:rsid w:val="10A764BE"/>
    <w:rsid w:val="10AA09BC"/>
    <w:rsid w:val="128743BB"/>
    <w:rsid w:val="135F2480"/>
    <w:rsid w:val="143024AF"/>
    <w:rsid w:val="152A17FF"/>
    <w:rsid w:val="15975C66"/>
    <w:rsid w:val="16D23435"/>
    <w:rsid w:val="18760D46"/>
    <w:rsid w:val="18ED64C1"/>
    <w:rsid w:val="1D456DFE"/>
    <w:rsid w:val="1E700345"/>
    <w:rsid w:val="1EB1321A"/>
    <w:rsid w:val="1F6A4D4D"/>
    <w:rsid w:val="1F73692E"/>
    <w:rsid w:val="1F7A1982"/>
    <w:rsid w:val="22D657D7"/>
    <w:rsid w:val="22FD50E3"/>
    <w:rsid w:val="2357537B"/>
    <w:rsid w:val="246001FF"/>
    <w:rsid w:val="253C6668"/>
    <w:rsid w:val="264C7E3C"/>
    <w:rsid w:val="271160DD"/>
    <w:rsid w:val="281025FE"/>
    <w:rsid w:val="2F534756"/>
    <w:rsid w:val="2FC71EAA"/>
    <w:rsid w:val="301F21EA"/>
    <w:rsid w:val="31607216"/>
    <w:rsid w:val="31CC0AB8"/>
    <w:rsid w:val="338E5A54"/>
    <w:rsid w:val="34800282"/>
    <w:rsid w:val="35603DDC"/>
    <w:rsid w:val="379C43E4"/>
    <w:rsid w:val="3895029B"/>
    <w:rsid w:val="38B43787"/>
    <w:rsid w:val="38C75611"/>
    <w:rsid w:val="392D00B8"/>
    <w:rsid w:val="3CD30F82"/>
    <w:rsid w:val="3E903019"/>
    <w:rsid w:val="3F442DC1"/>
    <w:rsid w:val="3F55668B"/>
    <w:rsid w:val="3FC566E7"/>
    <w:rsid w:val="403C027F"/>
    <w:rsid w:val="41C60870"/>
    <w:rsid w:val="42690A4D"/>
    <w:rsid w:val="442821B5"/>
    <w:rsid w:val="443918C2"/>
    <w:rsid w:val="44D5253E"/>
    <w:rsid w:val="4579539B"/>
    <w:rsid w:val="46452585"/>
    <w:rsid w:val="482A7B2C"/>
    <w:rsid w:val="48F54A9A"/>
    <w:rsid w:val="4ADE7A6F"/>
    <w:rsid w:val="4B806B0E"/>
    <w:rsid w:val="4DB6146B"/>
    <w:rsid w:val="4E6E6517"/>
    <w:rsid w:val="4ED96795"/>
    <w:rsid w:val="4F425EFB"/>
    <w:rsid w:val="4FD86E25"/>
    <w:rsid w:val="5203038C"/>
    <w:rsid w:val="53095970"/>
    <w:rsid w:val="54E27615"/>
    <w:rsid w:val="54FB5C25"/>
    <w:rsid w:val="558E4AA3"/>
    <w:rsid w:val="58203789"/>
    <w:rsid w:val="59D013D4"/>
    <w:rsid w:val="5A1320BD"/>
    <w:rsid w:val="5C372689"/>
    <w:rsid w:val="5C6C05AB"/>
    <w:rsid w:val="5D662775"/>
    <w:rsid w:val="5F331792"/>
    <w:rsid w:val="5F3561E0"/>
    <w:rsid w:val="60742A31"/>
    <w:rsid w:val="60831A27"/>
    <w:rsid w:val="60E25F4B"/>
    <w:rsid w:val="62824DDE"/>
    <w:rsid w:val="633E0C4D"/>
    <w:rsid w:val="63A77199"/>
    <w:rsid w:val="64DE177D"/>
    <w:rsid w:val="65193AFB"/>
    <w:rsid w:val="66A4184D"/>
    <w:rsid w:val="6A0B624B"/>
    <w:rsid w:val="6A141A24"/>
    <w:rsid w:val="6AA309C3"/>
    <w:rsid w:val="6B3261A6"/>
    <w:rsid w:val="6CFC146E"/>
    <w:rsid w:val="6DA2696E"/>
    <w:rsid w:val="6E734846"/>
    <w:rsid w:val="70361736"/>
    <w:rsid w:val="703A5119"/>
    <w:rsid w:val="70515691"/>
    <w:rsid w:val="706B1246"/>
    <w:rsid w:val="713D1844"/>
    <w:rsid w:val="71975DD6"/>
    <w:rsid w:val="724D1F1B"/>
    <w:rsid w:val="729232C0"/>
    <w:rsid w:val="756E2B3B"/>
    <w:rsid w:val="75D8458B"/>
    <w:rsid w:val="75EF5987"/>
    <w:rsid w:val="76807357"/>
    <w:rsid w:val="76B9634C"/>
    <w:rsid w:val="770B7E64"/>
    <w:rsid w:val="78AA52DC"/>
    <w:rsid w:val="78F2417E"/>
    <w:rsid w:val="7D353327"/>
    <w:rsid w:val="7D55120C"/>
    <w:rsid w:val="7D7F7EB8"/>
    <w:rsid w:val="7DDC0A99"/>
    <w:rsid w:val="7E940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color w:val="0000FF"/>
      <w:u w:val="single"/>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semiHidden/>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8</TotalTime>
  <ScaleCrop>false</ScaleCrop>
  <LinksUpToDate>false</LinksUpToDate>
  <CharactersWithSpaces>4387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路人甲</cp:lastModifiedBy>
  <cp:lastPrinted>2019-04-18T08:15:00Z</cp:lastPrinted>
  <dcterms:modified xsi:type="dcterms:W3CDTF">2019-09-29T05:55:04Z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