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北京尚都嘉艺保洁服务有限公司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tabs>
                <w:tab w:val="left" w:pos="818"/>
              </w:tabs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lang w:eastAsia="zh-CN"/>
              </w:rPr>
              <w:tab/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center"/>
          </w:tcPr>
          <w:p>
            <w:pPr>
              <w:pStyle w:val="2"/>
              <w:bidi w:val="0"/>
              <w:jc w:val="both"/>
            </w:pPr>
            <w:r>
              <w:rPr>
                <w:rFonts w:hint="eastAsia"/>
                <w:sz w:val="21"/>
                <w:szCs w:val="21"/>
              </w:rPr>
              <w:t>张红美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bCs w:val="0"/>
                <w:color w:val="auto"/>
                <w:szCs w:val="21"/>
              </w:rPr>
              <w:t>不符合事实描述:</w:t>
            </w:r>
          </w:p>
          <w:p>
            <w:pPr>
              <w:spacing w:before="120" w:line="320" w:lineRule="exact"/>
              <w:rPr>
                <w:rFonts w:ascii="方正仿宋简体" w:eastAsia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</w:rPr>
              <w:t>索阅供方评定的相关信息，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未提供</w:t>
            </w:r>
            <w:r>
              <w:rPr>
                <w:rFonts w:hint="eastAsia"/>
                <w:b/>
                <w:bCs w:val="0"/>
                <w:color w:val="auto"/>
              </w:rPr>
              <w:t>北京日光旭升精细化工技术研究所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 w:val="0"/>
                <w:color w:val="auto"/>
              </w:rPr>
              <w:t>液体清洁剂系列产品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）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评定的相关证实。</w:t>
            </w:r>
            <w:r>
              <w:rPr>
                <w:b/>
                <w:bCs w:val="0"/>
                <w:color w:val="auto"/>
              </w:rPr>
              <w:t xml:space="preserve">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bCs w:val="0"/>
                <w:color w:val="auto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bCs w:val="0"/>
                <w:color w:val="auto"/>
                <w:szCs w:val="21"/>
              </w:rPr>
            </w:pPr>
            <w:r>
              <w:rPr>
                <w:rFonts w:hAnsi="宋体"/>
                <w:b/>
                <w:bCs w:val="0"/>
                <w:color w:val="auto"/>
                <w:szCs w:val="21"/>
              </w:rPr>
              <w:t>上述</w:t>
            </w:r>
            <w:r>
              <w:rPr>
                <w:rFonts w:hint="eastAsia" w:hAnsi="宋体"/>
                <w:b/>
                <w:bCs w:val="0"/>
                <w:color w:val="auto"/>
                <w:szCs w:val="21"/>
              </w:rPr>
              <w:t>事实</w:t>
            </w:r>
            <w:r>
              <w:rPr>
                <w:rFonts w:hAnsi="宋体"/>
                <w:b/>
                <w:bCs w:val="0"/>
                <w:color w:val="auto"/>
                <w:szCs w:val="21"/>
              </w:rPr>
              <w:t>不符合</w:t>
            </w:r>
            <w:r>
              <w:rPr>
                <w:rFonts w:hint="eastAsia" w:hAnsi="宋体"/>
                <w:b/>
                <w:bCs w:val="0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>■ GB/T 19001:2016 idt ISO 9001:2015标准8</w:t>
            </w:r>
            <w:r>
              <w:rPr>
                <w:rFonts w:ascii="宋体" w:hAnsi="宋体"/>
                <w:b/>
                <w:bCs w:val="0"/>
                <w:color w:val="auto"/>
                <w:szCs w:val="21"/>
              </w:rPr>
              <w:t>.4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 xml:space="preserve">.2条款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bCs w:val="0"/>
                <w:color w:val="auto"/>
                <w:szCs w:val="21"/>
              </w:rPr>
            </w:pPr>
            <w:r>
              <w:rPr>
                <w:rFonts w:hint="eastAsia" w:hAnsi="宋体"/>
                <w:b/>
                <w:bCs w:val="0"/>
                <w:color w:val="auto"/>
                <w:szCs w:val="21"/>
              </w:rPr>
              <w:t>　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 xml:space="preserve"> GB/T 50430-2017标准  条款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>■</w:t>
            </w:r>
            <w:r>
              <w:rPr>
                <w:rFonts w:hint="eastAsia" w:hAnsi="宋体"/>
                <w:b/>
                <w:bCs w:val="0"/>
                <w:color w:val="auto"/>
                <w:szCs w:val="21"/>
              </w:rPr>
              <w:t>　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 xml:space="preserve">   条款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bCs w:val="0"/>
                <w:color w:val="auto"/>
                <w:szCs w:val="21"/>
              </w:rPr>
            </w:pPr>
            <w:r>
              <w:rPr>
                <w:rFonts w:hint="eastAsia" w:hAnsi="宋体"/>
                <w:b/>
                <w:bCs w:val="0"/>
                <w:color w:val="auto"/>
                <w:szCs w:val="21"/>
              </w:rPr>
              <w:t>　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 xml:space="preserve">■ ISO45001：2018标准 8.1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b/>
                <w:bCs w:val="0"/>
                <w:color w:val="auto"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bCs w:val="0"/>
                <w:color w:val="auto"/>
                <w:szCs w:val="21"/>
              </w:rPr>
            </w:pPr>
            <w:r>
              <w:rPr>
                <w:rFonts w:hAnsi="宋体"/>
                <w:b/>
                <w:bCs w:val="0"/>
                <w:color w:val="auto"/>
                <w:szCs w:val="21"/>
              </w:rPr>
              <w:t>不符合性质：</w:t>
            </w:r>
            <w:r>
              <w:rPr>
                <w:rFonts w:ascii="宋体" w:hAnsi="宋体"/>
                <w:b/>
                <w:bCs w:val="0"/>
                <w:color w:val="auto"/>
                <w:szCs w:val="21"/>
              </w:rPr>
              <w:t>□</w:t>
            </w:r>
            <w:r>
              <w:rPr>
                <w:rFonts w:hAnsi="宋体"/>
                <w:b/>
                <w:bCs w:val="0"/>
                <w:color w:val="auto"/>
                <w:szCs w:val="21"/>
              </w:rPr>
              <w:t>严重</w:t>
            </w:r>
            <w:r>
              <w:rPr>
                <w:rFonts w:hint="eastAsia" w:hAnsi="宋体"/>
                <w:b/>
                <w:bCs w:val="0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>■</w:t>
            </w:r>
            <w:r>
              <w:rPr>
                <w:rFonts w:hAnsi="宋体"/>
                <w:b/>
                <w:bCs w:val="0"/>
                <w:color w:val="auto"/>
                <w:szCs w:val="21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bCs w:val="0"/>
                <w:color w:val="auto"/>
                <w:szCs w:val="21"/>
              </w:rPr>
            </w:pPr>
          </w:p>
          <w:p>
            <w:pPr>
              <w:spacing w:before="120" w:after="80"/>
              <w:rPr>
                <w:rFonts w:ascii="宋体" w:hAnsi="宋体"/>
                <w:b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>审核员：                     审核组长：    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>日 期：</w:t>
            </w:r>
            <w:r>
              <w:rPr>
                <w:rFonts w:ascii="宋体" w:hAnsi="宋体"/>
                <w:b/>
                <w:bCs w:val="0"/>
                <w:color w:val="auto"/>
                <w:szCs w:val="21"/>
              </w:rPr>
              <w:t>20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>20年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 xml:space="preserve">日        </w:t>
            </w:r>
            <w:r>
              <w:rPr>
                <w:rFonts w:ascii="宋体" w:hAnsi="宋体"/>
                <w:b/>
                <w:bCs w:val="0"/>
                <w:color w:val="auto"/>
                <w:szCs w:val="21"/>
              </w:rPr>
              <w:t>20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>20年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 xml:space="preserve">日                 </w:t>
            </w:r>
            <w:r>
              <w:rPr>
                <w:rFonts w:ascii="宋体" w:hAnsi="宋体"/>
                <w:b/>
                <w:bCs w:val="0"/>
                <w:color w:val="auto"/>
                <w:szCs w:val="21"/>
              </w:rPr>
              <w:t>20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>20年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 w:val="0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961" w:firstLineChars="400"/>
              <w:rPr>
                <w:rFonts w:hint="eastAsia" w:ascii="华文行楷" w:hAnsi="华文行楷" w:eastAsia="华文行楷" w:cs="华文行楷"/>
                <w:b/>
                <w:sz w:val="24"/>
                <w:szCs w:val="24"/>
              </w:rPr>
            </w:pPr>
            <w:r>
              <w:rPr>
                <w:rFonts w:hint="eastAsia" w:ascii="华文行楷" w:hAnsi="华文行楷" w:eastAsia="华文行楷" w:cs="华文行楷"/>
                <w:b/>
                <w:sz w:val="24"/>
                <w:szCs w:val="24"/>
              </w:rPr>
              <w:t>查公司采取了原因分析及纠正，制定了纠正措施。开展了对相关供方的评价，收集了供方评定的相关信息，对相关员工实施了不符合相关内容的培训。纠正措施基本实施有效。</w:t>
            </w:r>
          </w:p>
          <w:p>
            <w:pPr>
              <w:spacing w:before="120" w:line="360" w:lineRule="auto"/>
              <w:rPr>
                <w:rFonts w:hint="eastAsia" w:ascii="华文行楷" w:hAnsi="华文行楷" w:eastAsia="华文行楷" w:cs="华文行楷"/>
                <w:b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/>
                <w:b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3526155</wp:posOffset>
                  </wp:positionH>
                  <wp:positionV relativeFrom="paragraph">
                    <wp:posOffset>361950</wp:posOffset>
                  </wp:positionV>
                  <wp:extent cx="616585" cy="389255"/>
                  <wp:effectExtent l="0" t="0" r="12065" b="10795"/>
                  <wp:wrapNone/>
                  <wp:docPr id="3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新文档 2019-04-09 16.49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                                            审核员：             日期： 2020年</w:t>
            </w:r>
            <w:r>
              <w:rPr>
                <w:rFonts w:hint="eastAsia" w:ascii="方正仿宋简体" w:eastAsia="方正仿宋简体"/>
                <w:b/>
                <w:szCs w:val="21"/>
                <w:lang w:val="en-US" w:eastAsia="zh-CN"/>
              </w:rPr>
              <w:t>11</w:t>
            </w:r>
            <w:r>
              <w:rPr>
                <w:rFonts w:hint="eastAsia" w:ascii="方正仿宋简体" w:eastAsia="方正仿宋简体"/>
                <w:b/>
                <w:szCs w:val="21"/>
              </w:rPr>
              <w:t>月2</w:t>
            </w:r>
            <w:r>
              <w:rPr>
                <w:rFonts w:hint="eastAsia" w:ascii="方正仿宋简体" w:eastAsia="方正仿宋简体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  <w:szCs w:val="21"/>
              </w:rPr>
              <w:t xml:space="preserve">日      </w:t>
            </w:r>
          </w:p>
        </w:tc>
      </w:tr>
    </w:tbl>
    <w:p>
      <w:pPr>
        <w:widowControl/>
        <w:jc w:val="center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br w:type="page"/>
      </w:r>
      <w:r>
        <w:rPr>
          <w:rFonts w:hint="eastAsia" w:eastAsia="黑体"/>
          <w:b/>
          <w:sz w:val="32"/>
          <w:szCs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0028" w:type="dxa"/>
          </w:tcPr>
          <w:p>
            <w:pPr>
              <w:rPr>
                <w:rFonts w:asciiTheme="minorEastAsia" w:hAnsiTheme="minorEastAsia" w:eastAsiaTheme="minorEastAsia"/>
                <w:b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Cs w:val="21"/>
              </w:rPr>
              <w:t>由于对体系要求的理解存在不足，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未提供</w:t>
            </w:r>
            <w:r>
              <w:rPr>
                <w:rFonts w:hint="eastAsia"/>
                <w:b/>
                <w:bCs w:val="0"/>
                <w:color w:val="auto"/>
              </w:rPr>
              <w:t>北京日光旭升精细化工技术研究所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 w:val="0"/>
                <w:color w:val="auto"/>
              </w:rPr>
              <w:t>液体清洁剂系列产品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）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评定的相关证实。</w:t>
            </w:r>
            <w:r>
              <w:rPr>
                <w:b/>
                <w:bCs w:val="0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Cs w:val="21"/>
              </w:rPr>
              <w:t>；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0028" w:type="dxa"/>
          </w:tcPr>
          <w:p>
            <w:pPr>
              <w:rPr>
                <w:rFonts w:asciiTheme="minorEastAsia" w:hAnsiTheme="minorEastAsia" w:eastAsiaTheme="minorEastAsia"/>
                <w:b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Cs w:val="21"/>
              </w:rPr>
              <w:t>纠正情况：</w:t>
            </w:r>
          </w:p>
          <w:p>
            <w:pPr>
              <w:rPr>
                <w:rFonts w:asciiTheme="minorEastAsia" w:hAnsiTheme="minorEastAsia" w:eastAsiaTheme="minorEastAsia"/>
                <w:b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Cs w:val="21"/>
              </w:rPr>
              <w:t>1、立即告知相关方。</w:t>
            </w:r>
          </w:p>
          <w:p>
            <w:pPr>
              <w:rPr>
                <w:rFonts w:asciiTheme="minorEastAsia" w:hAnsiTheme="minorEastAsia" w:eastAsiaTheme="minorEastAsia"/>
                <w:b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auto"/>
                <w:szCs w:val="21"/>
              </w:rPr>
              <w:t>2、组织相关人员对供方</w:t>
            </w:r>
            <w:r>
              <w:rPr>
                <w:rFonts w:hint="eastAsia"/>
                <w:b/>
                <w:bCs w:val="0"/>
                <w:color w:val="auto"/>
              </w:rPr>
              <w:t>北京日光旭升精细化工技术研究所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bCs w:val="0"/>
                <w:color w:val="auto"/>
              </w:rPr>
              <w:t>液体清洁剂系列产品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Cs w:val="21"/>
              </w:rPr>
              <w:t>进行评定。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相关人员对GB/T19001-2016标准的8.4.2条款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GB/T24001-2016</w:t>
            </w:r>
            <w:r>
              <w:rPr>
                <w:rFonts w:hint="eastAsia" w:ascii="宋体" w:hAnsi="宋体"/>
                <w:b/>
                <w:szCs w:val="21"/>
              </w:rPr>
              <w:t>8.1 条款、ISO45001：2018标准 8.1 条款的学习和认知存在不足；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综合部对体系运行要求的培训深度不到位，综合部对体系运行管理的检查不到位，未能发现存在的问题。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1、对相关人员进行GB/T19001-2016标准的8.4.2条款、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GB/T24001-2016</w:t>
            </w:r>
            <w:r>
              <w:rPr>
                <w:rFonts w:hint="eastAsia" w:ascii="宋体" w:hAnsi="宋体"/>
                <w:b/>
                <w:szCs w:val="21"/>
              </w:rPr>
              <w:t>8.1 条款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 GB/T</w:t>
            </w:r>
            <w:r>
              <w:rPr>
                <w:rFonts w:hint="eastAsia" w:ascii="宋体" w:hAnsi="宋体"/>
                <w:b/>
                <w:szCs w:val="21"/>
              </w:rPr>
              <w:t>45001：20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标准 8.1 条款及公司管理手册、程序文件相关内容的学习培训；</w:t>
            </w:r>
          </w:p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2、自纠自查体系运行存在的不足，进行改进。</w:t>
            </w:r>
          </w:p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：2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</w:rPr>
              <w:t>20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进行自纠自查对存在的类似不符合，发现后立即整改。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b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</w:rPr>
              <w:t>原因分析基本准确，纠正措施已制定和实施。纠正措施验证通过。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szCs w:val="21"/>
              </w:rPr>
              <w:t>验证人：               日期：2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</w:rPr>
              <w:t>20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8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         日期：</w:t>
      </w:r>
      <w:r>
        <w:rPr>
          <w:rFonts w:hint="eastAsia" w:eastAsia="方正仿宋简体"/>
          <w:b/>
          <w:szCs w:val="21"/>
        </w:rPr>
        <w:t>2</w:t>
      </w:r>
      <w:r>
        <w:rPr>
          <w:rFonts w:eastAsia="方正仿宋简体"/>
          <w:b/>
          <w:szCs w:val="21"/>
        </w:rPr>
        <w:t>0</w:t>
      </w:r>
      <w:r>
        <w:rPr>
          <w:rFonts w:hint="eastAsia" w:eastAsia="方正仿宋简体"/>
          <w:b/>
          <w:szCs w:val="21"/>
        </w:rPr>
        <w:t>20</w:t>
      </w:r>
      <w:r>
        <w:rPr>
          <w:rFonts w:eastAsia="方正仿宋简体"/>
          <w:b/>
          <w:szCs w:val="21"/>
        </w:rPr>
        <w:t>.</w:t>
      </w:r>
      <w:r>
        <w:rPr>
          <w:rFonts w:hint="eastAsia" w:eastAsia="方正仿宋简体"/>
          <w:b/>
          <w:szCs w:val="21"/>
          <w:lang w:val="en-US" w:eastAsia="zh-CN"/>
        </w:rPr>
        <w:t>11</w:t>
      </w:r>
      <w:r>
        <w:rPr>
          <w:rFonts w:eastAsia="方正仿宋简体"/>
          <w:b/>
          <w:szCs w:val="21"/>
        </w:rPr>
        <w:t>.</w:t>
      </w:r>
      <w:r>
        <w:rPr>
          <w:rFonts w:hint="eastAsia" w:eastAsia="方正仿宋简体"/>
          <w:b/>
          <w:szCs w:val="21"/>
        </w:rPr>
        <w:t>2</w:t>
      </w:r>
      <w:r>
        <w:rPr>
          <w:rFonts w:hint="eastAsia" w:eastAsia="方正仿宋简体"/>
          <w:b/>
          <w:szCs w:val="21"/>
          <w:lang w:val="en-US" w:eastAsia="zh-CN"/>
        </w:rPr>
        <w:t>8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5C79AE"/>
    <w:rsid w:val="550E3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2020-11-19T18:52:19Z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