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四川国际招标有限责任公司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成都市高新区天府四街66号1栋17层1号、2号、3号、4号、5号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沈萍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028-87797107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526200687@qq.com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沈萍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0079-2018-QEO-2020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Q:监查2,E:监查2,O:监查2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：招标采购代理（政府采购代理、国际招标代理、企业招标代理、建设工程招标代理、中央投资项目招标代理、PPP项目招标采购代理、军工涉密业务招标代理）、进出口代理、咨询服务（工程咨询、招标采购培训）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招标采购代理（政府采购代理、国际招标代理、企业招标代理、建设工程招标代理、中央投资项目招标代理、PPP项目招标采购代理、军工涉密业务招标代理）、进出口代理、咨询服务（工程咨询、招标采购培训）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招标采购代理（政府采购代理、国际招标代理、企业招标代理、建设工程招标代理、中央投资项目招标代理、PPP项目招标采购代理、军工涉密业务招标代理）、进出口代理、咨询服务（工程咨询、招标采购培训）所涉及的相关职业健康安全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Q：34.01.02;35.04.02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E：29.12.00;34.01.02;34.06.00;35.04.02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O：34.01.02;35.04.02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de-DE"/>
              </w:rPr>
              <w:t xml:space="preserve">■ GB/T 19001:2016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8.3</w:t>
            </w:r>
            <w:bookmarkStart w:id="17" w:name="_GoBack"/>
            <w:bookmarkEnd w:id="17"/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□</w:t>
            </w:r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■ 受审核方管理体系文件  ■适用的法律法规  ■认证合同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4" w:name="审核开始日"/>
            <w:r>
              <w:rPr>
                <w:rFonts w:hint="eastAsia"/>
                <w:b/>
                <w:sz w:val="20"/>
              </w:rPr>
              <w:t>2020年11月30日 上午</w:t>
            </w:r>
            <w:bookmarkEnd w:id="14"/>
            <w:r>
              <w:rPr>
                <w:rFonts w:hint="eastAsia"/>
                <w:b/>
                <w:sz w:val="20"/>
              </w:rPr>
              <w:t>至</w:t>
            </w:r>
            <w:bookmarkStart w:id="15" w:name="审核结束日"/>
            <w:r>
              <w:rPr>
                <w:rFonts w:hint="eastAsia"/>
                <w:b/>
                <w:sz w:val="20"/>
              </w:rPr>
              <w:t>2020年11月30日 下午</w:t>
            </w:r>
            <w:bookmarkEnd w:id="15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6" w:name="审核天数"/>
            <w:r>
              <w:rPr>
                <w:rFonts w:hint="eastAsia"/>
                <w:b/>
                <w:sz w:val="20"/>
              </w:rPr>
              <w:t>1.0</w:t>
            </w:r>
            <w:bookmarkEnd w:id="16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2019-N1QMS-3093566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2018-N1EMS-2093566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2019-N1OHSMS-2093566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Q:34.01.02,35.04.02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E:29.12.00,34.01.02,34.06.00,35.04.02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O:34.01.02,35.04.02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宋明珠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2020-N1QMS-1247783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2019-N1EMS-1247783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余家龙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2020-N1QMS-1262293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2020-N1EMS-1262293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E:34.06.00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冷校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Q:实习审核员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2020-N0QMS-2222816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2020-N1EMS-1222816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13983696917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2020年11月28日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/>
        </w:tc>
      </w:tr>
    </w:tbl>
    <w:p>
      <w:pPr>
        <w:rPr>
          <w:rFonts w:ascii="宋体" w:hAnsi="宋体"/>
          <w:sz w:val="28"/>
        </w:rPr>
      </w:pPr>
      <w:r>
        <w:rPr>
          <w:rFonts w:ascii="宋体" w:hAnsi="宋体"/>
          <w:b/>
          <w:sz w:val="28"/>
        </w:rPr>
        <w:pict>
          <v:shape id="Text Box 5" o:spid="_x0000_s2058" o:spt="202" type="#_x0000_t202" style="position:absolute;left:0pt;margin-left:-87.25pt;margin-top:-62.7pt;height:13.15pt;width:13.5pt;z-index:2516582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napToGrid w:val="0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时间</w:t>
                  </w:r>
                </w:p>
              </w:txbxContent>
            </v:textbox>
          </v:shape>
        </w:pict>
      </w:r>
      <w:r>
        <w:rPr>
          <w:rFonts w:hint="eastAsia" w:ascii="宋体" w:hAnsi="宋体"/>
          <w:b/>
          <w:sz w:val="28"/>
        </w:rPr>
        <w:t>附表</w:t>
      </w:r>
      <w:r>
        <w:rPr>
          <w:rFonts w:ascii="宋体" w:hAnsi="宋体"/>
          <w:b/>
          <w:sz w:val="28"/>
        </w:rPr>
        <w:t>(</w:t>
      </w:r>
      <w:r>
        <w:rPr>
          <w:rFonts w:hint="eastAsia" w:ascii="宋体" w:hAnsi="宋体"/>
          <w:b/>
          <w:sz w:val="28"/>
        </w:rPr>
        <w:t>审核具体安排</w:t>
      </w:r>
      <w:r>
        <w:rPr>
          <w:rFonts w:ascii="宋体" w:hAnsi="宋体"/>
          <w:b/>
          <w:sz w:val="28"/>
        </w:rPr>
        <w:t>)</w:t>
      </w:r>
      <w:r>
        <w:rPr>
          <w:rFonts w:ascii="宋体" w:hAnsi="宋体"/>
          <w:sz w:val="28"/>
        </w:rPr>
        <w:t>:</w:t>
      </w:r>
    </w:p>
    <w:tbl>
      <w:tblPr>
        <w:tblStyle w:val="5"/>
        <w:tblpPr w:leftFromText="180" w:rightFromText="180" w:vertAnchor="text" w:horzAnchor="page" w:tblpX="656" w:tblpY="808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85"/>
        <w:gridCol w:w="1158"/>
        <w:gridCol w:w="7658"/>
        <w:gridCol w:w="102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164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ind w:right="31" w:rightChars="13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 排</w:t>
            </w:r>
          </w:p>
          <w:p>
            <w:pPr>
              <w:ind w:firstLine="68" w:firstLineChars="38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 间</w:t>
            </w:r>
          </w:p>
        </w:tc>
        <w:tc>
          <w:tcPr>
            <w:tcW w:w="8678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1643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文平、宋明珠、余家龙、冷校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4" w:hRule="atLeast"/>
        </w:trPr>
        <w:tc>
          <w:tcPr>
            <w:tcW w:w="48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月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30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上午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8：00-8：30</w:t>
            </w:r>
          </w:p>
        </w:tc>
        <w:tc>
          <w:tcPr>
            <w:tcW w:w="867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首次会议：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57" w:hRule="atLeast"/>
        </w:trPr>
        <w:tc>
          <w:tcPr>
            <w:tcW w:w="4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  <w:tcBorders>
              <w:top w:val="single" w:color="auto" w:sz="4" w:space="0"/>
              <w:left w:val="nil"/>
              <w:right w:val="single" w:color="auto" w:sz="6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8：30-16：00（12：00-13：00午休）</w:t>
            </w:r>
          </w:p>
        </w:tc>
        <w:tc>
          <w:tcPr>
            <w:tcW w:w="76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管理层: 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Q:4.1组织及其环境;4.2相关方需求与期望;4.3确定体系范围;4.4体系及其过程;5.1领导作用与承诺;5.2方针;5.3组织的角色、职责和权限；6.1应对风险和机遇的措施；6.2目标及其实现的策划；6.3变更的策划；7.1.1资源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新宋体"/>
                <w:sz w:val="18"/>
                <w:szCs w:val="18"/>
              </w:rPr>
              <w:t>9.3管理评审；10.1改进 总则；10.2不合格和纠正措施10.3持续改进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宋明珠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69" w:hRule="atLeast"/>
        </w:trPr>
        <w:tc>
          <w:tcPr>
            <w:tcW w:w="4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8" w:type="dxa"/>
            <w:vMerge w:val="continue"/>
            <w:tcBorders>
              <w:left w:val="nil"/>
              <w:right w:val="single" w:color="auto" w:sz="6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管理层：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E; 4.1组织及其环境;4.2相关方需求与期望;4.3确定体系范围;4.4体系;5.1领导作用与承诺;5.2方针;5.3组织的角色、职责和权限；6.1.1策划总则；6.1.4措施的策划；6.2目标及其实现的策划；7.1资源；7.4沟通； 9.1.1监测、分析和评估总则； 9.3管理评审；10.1改进 总则；10.3持续改进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冷校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31" w:hRule="atLeast"/>
        </w:trPr>
        <w:tc>
          <w:tcPr>
            <w:tcW w:w="4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8" w:type="dxa"/>
            <w:vMerge w:val="continue"/>
            <w:tcBorders>
              <w:left w:val="nil"/>
              <w:right w:val="single" w:color="auto" w:sz="6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管理层：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O: 4.1组织及其环境;4.2相关方需求与期望;4.3确定体系范围;4.4体系;5.1领导作用与承诺;5.2方针;5.3组织的角色、职责和权限；5.4员工参与和协商；6.1应对风险和机遇的措施；6.1.4措施的策划；6.2目标及其实现的策划；7.1资源；7.4信息和沟通；9.1监视、测量、分析和评价； 9.3管理评审；10.1事件、不符合和纠正措施；10.3持续改进。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资质的确认、管理体系变化情况、质量监督抽查情况、顾客对产品质量的投诉、认证证书及标识使用情况、上次不符合验证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文平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70" w:hRule="atLeast"/>
        </w:trPr>
        <w:tc>
          <w:tcPr>
            <w:tcW w:w="4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8" w:type="dxa"/>
            <w:vMerge w:val="continue"/>
            <w:tcBorders>
              <w:left w:val="nil"/>
              <w:right w:val="single" w:color="auto" w:sz="6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客户部：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Q：5.3组织的角色、职责和权限；6.2质量目标及其实现的策划； 8.2产品和服务的要求； 8.4外部提供供方的控制； 9.1.2顾客满意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余家龙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4" w:hRule="atLeast"/>
        </w:trPr>
        <w:tc>
          <w:tcPr>
            <w:tcW w:w="4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8" w:type="dxa"/>
            <w:vMerge w:val="continue"/>
            <w:tcBorders>
              <w:left w:val="nil"/>
              <w:right w:val="single" w:color="auto" w:sz="6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客户部：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E:5.3组织的角色、职责和权限；6.2目标及其实现的策划； 6.1.2环境因素；8.1运行策划和控制；8.2应急准备和响应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余家龙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7" w:hRule="atLeast"/>
        </w:trPr>
        <w:tc>
          <w:tcPr>
            <w:tcW w:w="4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8" w:type="dxa"/>
            <w:vMerge w:val="continue"/>
            <w:tcBorders>
              <w:left w:val="nil"/>
              <w:right w:val="single" w:color="auto" w:sz="6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客户部：</w:t>
            </w:r>
          </w:p>
          <w:p>
            <w:pPr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O: 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文平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8" w:hRule="atLeast"/>
        </w:trPr>
        <w:tc>
          <w:tcPr>
            <w:tcW w:w="4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8" w:type="dxa"/>
            <w:vMerge w:val="continue"/>
            <w:tcBorders>
              <w:left w:val="nil"/>
              <w:right w:val="single" w:color="auto" w:sz="6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行政部(财务部):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Q：5.3组织的角色、职责和权限；6.2质量目标及其实现的策划；7.2能力；7.3意识；7.4沟通；7.5文件化信息；9.2内部审核；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10.2不符合纠正措施；10.3持续改进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宋明珠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0" w:hRule="atLeast"/>
        </w:trPr>
        <w:tc>
          <w:tcPr>
            <w:tcW w:w="4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8" w:type="dxa"/>
            <w:vMerge w:val="continue"/>
            <w:tcBorders>
              <w:left w:val="nil"/>
              <w:right w:val="single" w:color="auto" w:sz="6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58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E：5.3组织的角色、职责和权限；6.1.2环境因素；6.1.3合规义务；6.2目标及其达成的策划；7.2能力；7.3意识；7.4信息和沟通；7.5文件化信息； 8.1运行策划和控制；8.2应急准备和响应（上次不符合验证）；9.1监视、测量、分析与评估；9.1.2符合性评估；9.2内部审核；10.2不符合和纠正措施；10.3持续改进/EMS运行控制相关财务支出证据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;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行政部(财务部):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O: 5.3组织的角色、职责和权限；6.1.2危险源辨识和职业安全风险评价；6.1.3法律法规要求和其他要求；6.2目标及其实现的策划；7.2能力；7.3意识；7.4信息和沟通；7.5文件化信息；8.1运行策划和控制；8.2应急准备和响应；9.1监视、测量、分析和评价；9.1.2法律法规要求和其他要求的合规性评价；9.2内部审核；10.1事件、不符合和纠正措施；10.2不符合和纠正措施/OHSMS运行控制财务支出证据。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文平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32" w:hRule="atLeast"/>
        </w:trPr>
        <w:tc>
          <w:tcPr>
            <w:tcW w:w="4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8" w:type="dxa"/>
            <w:vMerge w:val="continue"/>
            <w:tcBorders>
              <w:left w:val="nil"/>
              <w:right w:val="single" w:color="auto" w:sz="6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58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技术部：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Q:5.3组织的角色、职责和权限；6.2质量目标及其实现的策划；7.1.5监视和测量资源；8.1运行策划和控制； 8.3设计开发控制；8.5.1生产和服务提供的控制；8.5.2标识和可追溯性；8.5.3顾客或外部供方的财产；8.5.4防护；8.5.5交付后的活动；8.5.6更改控制；8.6产品和服务放行；8.7不合格输出的控制；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E:5.3组织的角色、职责和权限；6.2目标及其实现的策划； 6.1.2环境因素；8.1运行策划和控制；8.2应急准备和响应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技术部：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O:5.3组织的角色、职责和权限；6.1.2危险源辨识和职业安全风险评价；6.2目标及其实现的策划；7.4信息和沟通；8.1运行策划和控制；8.2应急准备和响应；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文平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2" w:hRule="atLeast"/>
        </w:trPr>
        <w:tc>
          <w:tcPr>
            <w:tcW w:w="48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16：00-17：00</w:t>
            </w:r>
          </w:p>
        </w:tc>
        <w:tc>
          <w:tcPr>
            <w:tcW w:w="76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审核组内部沟通,并与受审核方沟通，末次会议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全体审核员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0A9D"/>
    <w:rsid w:val="0002775F"/>
    <w:rsid w:val="0005125F"/>
    <w:rsid w:val="000F0582"/>
    <w:rsid w:val="0020278C"/>
    <w:rsid w:val="002D20D4"/>
    <w:rsid w:val="00614C1D"/>
    <w:rsid w:val="007462F4"/>
    <w:rsid w:val="007F0A9D"/>
    <w:rsid w:val="00DE79E9"/>
    <w:rsid w:val="00F705F1"/>
    <w:rsid w:val="030520AB"/>
    <w:rsid w:val="118D1C2B"/>
    <w:rsid w:val="219515C8"/>
    <w:rsid w:val="60431D13"/>
    <w:rsid w:val="6E754A27"/>
    <w:rsid w:val="725A46C3"/>
    <w:rsid w:val="739062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205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568</Words>
  <Characters>3241</Characters>
  <Lines>27</Lines>
  <Paragraphs>7</Paragraphs>
  <TotalTime>0</TotalTime>
  <ScaleCrop>false</ScaleCrop>
  <LinksUpToDate>false</LinksUpToDate>
  <CharactersWithSpaces>3802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2020-11-30T01:38:00Z</dcterms:created>
  <dc:creator>微软用户</dc:creator>
  <cp:lastModifiedBy>way一直都在</cp:lastModifiedBy>
  <dcterms:modified xsi:type="dcterms:W3CDTF">2020-11-30T06:26:32Z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