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0079-2018-QEO-2020</w:t>
      </w:r>
      <w:bookmarkEnd w:id="0"/>
      <w:r>
        <w:rPr>
          <w:rFonts w:hint="eastAsia"/>
          <w:b/>
          <w:szCs w:val="21"/>
        </w:rPr>
        <w:t xml:space="preserve">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四川国际招标有限责任公司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/>
                <w:szCs w:val="21"/>
                <w:lang w:val="en-US" w:eastAsia="zh-CN"/>
              </w:rPr>
              <w:t>GB/T28001-2011</w:t>
            </w:r>
          </w:p>
          <w:p>
            <w:pPr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/>
                <w:szCs w:val="21"/>
                <w:lang w:val="en-US" w:eastAsia="zh-CN"/>
              </w:rPr>
              <w:t>ISO45001:2018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szCs w:val="21"/>
                <w:lang w:val="en-US" w:eastAsia="zh-CN"/>
              </w:rPr>
              <w:t>成都市高新区天府四街66号1栋17层1号、2号、3号、4号、5号。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szCs w:val="21"/>
                <w:lang w:val="en-US" w:eastAsia="zh-CN"/>
              </w:rPr>
              <w:t>中国（四川）自由贸易试验区成都市高新区天府四街66号2栋22层1号。</w:t>
            </w: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D21D05"/>
    <w:rsid w:val="69766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21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2020-11-30T06:40:45Z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