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0"/>
        <w:gridCol w:w="352"/>
        <w:gridCol w:w="75"/>
        <w:gridCol w:w="566"/>
        <w:gridCol w:w="385"/>
        <w:gridCol w:w="3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重庆新思达企业管理有限公司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重庆市九龙坡区杨家坪前进支路15号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梁梅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18875261951</w:t>
            </w:r>
            <w:bookmarkEnd w:id="3"/>
          </w:p>
        </w:tc>
        <w:tc>
          <w:tcPr>
            <w:tcW w:w="6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梁梅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0110-2019-Q-2020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宋体" w:hAnsi="宋体" w:eastAsia="宋体" w:cs="宋体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资质范围内资质</w:t>
            </w:r>
            <w:bookmarkStart w:id="19" w:name="_GoBack"/>
            <w:r>
              <w:rPr>
                <w:sz w:val="20"/>
              </w:rPr>
              <w:t>劳务派遣服务；承接业务流程外包服务</w:t>
            </w:r>
            <w:bookmarkEnd w:id="19"/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35.04.02;35.10.00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2020年11月12日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陈虹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重庆宏鼎人力资源管理有限公司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35.04.02,35.10.00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 排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：00-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首次会议：张心、冉景洲、陈虹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：30-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管理层: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10.3持续改进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7.2条款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、认证证书、标志的使用情况、投诉或事故、监督抽查情况、体系变动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：30-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运营部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:张心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、陈虹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5.3组织的角色、职责和权限；6.2质量目标及其实现的策划； 8.5.1生产和服务提供的控制；8.5.2标识和可追溯性；8.5.4防护；8.5.6更改控制；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总经办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冉景洲、陈虹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7.2能力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9.1.3分析和评价； 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运营部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:张心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、陈虹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继续上午审核内容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冉景洲、陈虹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5.3组织的角色、职责和权限；6.2质量目标及其实现的策划； 8.2产品和服务的要求；8.5.3顾客或外部供方的财产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8.5.5交付后的活动；9.1.2顾客满意；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资源部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:张心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、陈虹</w:t>
            </w:r>
          </w:p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5.3组织的角色、职责和权限；6.2质量目标及其实现的策划；7.1.5监视和测量资源;8.1运行策划和控制； 8.3设计开发控制； 8.6产品和服务放行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8.7不合格输出的控制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D455F1"/>
    <w:rsid w:val="1B715118"/>
    <w:rsid w:val="212A2525"/>
    <w:rsid w:val="257F74C4"/>
    <w:rsid w:val="2B05754E"/>
    <w:rsid w:val="32107B70"/>
    <w:rsid w:val="4BCE043F"/>
    <w:rsid w:val="509F2EC4"/>
    <w:rsid w:val="6B361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2020-11-11T15:01:20Z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