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南京国骄装饰工程有限公司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2018-N1QMS-2210615</w:t>
            </w:r>
          </w:p>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r>
              <w:rPr>
                <w:b/>
                <w:sz w:val="21"/>
                <w:szCs w:val="21"/>
              </w:rPr>
              <w:t>EC:28.03.01,28.08.01,28.08.02,28.08.03,28.08.04,28.08.05</w:t>
            </w:r>
          </w:p>
          <w:p>
            <w:pPr>
              <w:jc w:val="center"/>
              <w:rPr>
                <w:b/>
                <w:sz w:val="21"/>
                <w:szCs w:val="21"/>
              </w:rPr>
            </w:pPr>
            <w:r>
              <w:rPr>
                <w:b/>
                <w:sz w:val="21"/>
                <w:szCs w:val="21"/>
              </w:rPr>
              <w:t>E:28.03.01,28.08.01,28.08.02,28.08.03,28.08.04,28.08.05</w:t>
            </w:r>
          </w:p>
          <w:p>
            <w:pPr>
              <w:jc w:val="center"/>
              <w:rPr>
                <w:b/>
                <w:sz w:val="21"/>
                <w:szCs w:val="21"/>
              </w:rPr>
            </w:pPr>
            <w:r>
              <w:rPr>
                <w:b/>
                <w:sz w:val="21"/>
                <w:szCs w:val="21"/>
              </w:rPr>
              <w:t>O:28.03.01,28.08.01,28.08.02,28.08.03,28.08.04,28.08.05</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EC:28.03.01,28.08.01,28.08.02,28.08.03,28.08.04,28.08.05</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2019-N1QMS-1258213</w:t>
            </w:r>
          </w:p>
          <w:p>
            <w:pPr>
              <w:jc w:val="center"/>
              <w:rPr>
                <w:b/>
                <w:sz w:val="21"/>
                <w:szCs w:val="21"/>
              </w:rPr>
            </w:pPr>
            <w:r>
              <w:rPr>
                <w:b/>
                <w:sz w:val="21"/>
                <w:szCs w:val="21"/>
              </w:rPr>
              <w:t>2020-N1EMS-1258213</w:t>
            </w:r>
          </w:p>
          <w:p>
            <w:pPr>
              <w:jc w:val="center"/>
              <w:rPr>
                <w:b/>
                <w:sz w:val="21"/>
                <w:szCs w:val="21"/>
              </w:rPr>
            </w:pPr>
            <w:r>
              <w:rPr>
                <w:b/>
                <w:sz w:val="21"/>
                <w:szCs w:val="21"/>
              </w:rPr>
              <w:t>2020-N1OHSMS-1258213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ascii="宋体" w:hAnsi="宋体" w:eastAsia="宋体" w:cs="宋体"/>
          <w:b/>
          <w:sz w:val="21"/>
          <w:szCs w:val="21"/>
        </w:rPr>
        <w:t>█</w:t>
      </w:r>
      <w:r>
        <w:rPr>
          <w:rFonts w:hint="eastAsia"/>
          <w:b/>
          <w:sz w:val="21"/>
          <w:szCs w:val="21"/>
        </w:rPr>
        <w:t xml:space="preserve">GB/T 19001:2016 idt ISO 9001:2015标准不适用条款: </w:t>
      </w:r>
    </w:p>
    <w:p>
      <w:pPr>
        <w:tabs>
          <w:tab w:val="left" w:pos="645"/>
        </w:tabs>
        <w:rPr>
          <w:b/>
          <w:sz w:val="21"/>
          <w:szCs w:val="21"/>
        </w:rPr>
      </w:pPr>
      <w:r>
        <w:rPr>
          <w:rFonts w:hint="eastAsia" w:ascii="宋体" w:hAnsi="宋体" w:eastAsia="宋体" w:cs="宋体"/>
          <w:b/>
          <w:sz w:val="21"/>
          <w:szCs w:val="21"/>
        </w:rPr>
        <w:t>█</w:t>
      </w:r>
      <w:r>
        <w:rPr>
          <w:rFonts w:hint="eastAsia"/>
          <w:b/>
          <w:sz w:val="21"/>
          <w:szCs w:val="21"/>
        </w:rPr>
        <w:t xml:space="preserve"> GB/T 50430-2017标准不适用条款: </w:t>
      </w:r>
    </w:p>
    <w:p>
      <w:pPr>
        <w:tabs>
          <w:tab w:val="left" w:pos="645"/>
        </w:tabs>
        <w:rPr>
          <w:b/>
          <w:sz w:val="21"/>
          <w:szCs w:val="21"/>
        </w:rPr>
      </w:pPr>
      <w:bookmarkStart w:id="4" w:name="E勾选Add"/>
      <w:r>
        <w:rPr>
          <w:rFonts w:hint="eastAsia"/>
          <w:b/>
          <w:sz w:val="21"/>
          <w:szCs w:val="21"/>
        </w:rPr>
        <w:t>■</w:t>
      </w:r>
      <w:bookmarkEnd w:id="4"/>
      <w:r>
        <w:rPr>
          <w:rFonts w:hint="eastAsia"/>
          <w:b/>
          <w:sz w:val="21"/>
          <w:szCs w:val="21"/>
        </w:rPr>
        <w:t xml:space="preserve"> GB/T 24001-2016 idt ISO 14001:2015标准</w:t>
      </w:r>
    </w:p>
    <w:p>
      <w:pPr>
        <w:tabs>
          <w:tab w:val="left" w:pos="645"/>
        </w:tabs>
        <w:rPr>
          <w:b/>
          <w:sz w:val="21"/>
          <w:szCs w:val="21"/>
        </w:rPr>
      </w:pPr>
      <w:bookmarkStart w:id="5" w:name="S勾选Add1"/>
      <w:r>
        <w:rPr>
          <w:rFonts w:hint="eastAsia"/>
          <w:b/>
          <w:sz w:val="21"/>
          <w:szCs w:val="21"/>
        </w:rPr>
        <w:t>■</w:t>
      </w:r>
      <w:bookmarkEnd w:id="5"/>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rPr>
                <w:rFonts w:ascii="宋体"/>
                <w:b/>
                <w:sz w:val="21"/>
                <w:szCs w:val="22"/>
              </w:rPr>
            </w:pPr>
            <w:bookmarkStart w:id="6" w:name="组织名称Add"/>
            <w:r>
              <w:rPr>
                <w:rFonts w:ascii="宋体"/>
                <w:b/>
                <w:sz w:val="21"/>
                <w:szCs w:val="22"/>
              </w:rPr>
              <w:t>南京国骄装饰工程有限公司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szCs w:val="22"/>
              </w:rPr>
            </w:pPr>
            <w:bookmarkStart w:id="7" w:name="注册地址"/>
            <w:r>
              <w:rPr>
                <w:rFonts w:ascii="宋体"/>
                <w:b/>
                <w:sz w:val="21"/>
                <w:szCs w:val="22"/>
              </w:rPr>
              <w:t>南京市江北新区江浦街道浦珠南路26号紫晶龙华广场02幢407室</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21000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办公地址"/>
            <w:r>
              <w:rPr>
                <w:rFonts w:ascii="宋体"/>
                <w:b/>
                <w:sz w:val="21"/>
              </w:rPr>
              <w:t>南京市江北新区江浦街道浦珠南路26号紫晶龙华广场02幢407室</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21000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南京市江北新区江浦街道浦珠南路26号紫晶龙华广场02幢407室</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21000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秦国涛</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15151873749</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秦国涛</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秦国涛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秦国涛</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2020年11月22日 上午至2020年11月23日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19" w:name="审核范围"/>
            <w:r>
              <w:rPr>
                <w:rFonts w:hint="eastAsia" w:ascii="宋体" w:hAnsi="宋体"/>
              </w:rPr>
              <w:t>EC：建筑装饰装修工程、市政公用工程的施工（限资质范围内）</w:t>
            </w:r>
          </w:p>
          <w:p>
            <w:pPr>
              <w:spacing w:line="0" w:lineRule="atLeast"/>
              <w:jc w:val="left"/>
              <w:rPr>
                <w:rFonts w:hint="eastAsia" w:ascii="宋体" w:hAnsi="宋体"/>
              </w:rPr>
            </w:pPr>
            <w:r>
              <w:rPr>
                <w:rFonts w:hint="eastAsia" w:ascii="宋体" w:hAnsi="宋体"/>
              </w:rPr>
              <w:t>E：建筑装饰装修工程、市政公用工程的施工(限资质范围内）及其所涉及的环境管理活动</w:t>
            </w:r>
          </w:p>
          <w:p>
            <w:pPr>
              <w:spacing w:line="360" w:lineRule="exact"/>
              <w:rPr>
                <w:rFonts w:ascii="宋体" w:hAnsi="宋体"/>
                <w:b/>
                <w:sz w:val="21"/>
                <w:szCs w:val="21"/>
              </w:rPr>
            </w:pPr>
            <w:r>
              <w:rPr>
                <w:rFonts w:hint="eastAsia" w:ascii="宋体" w:hAnsi="宋体"/>
              </w:rPr>
              <w:t>O：建筑装饰装修工程、市政公用工程的施工（限资质范围内）及其所涉及的职业健康安全管理活动</w:t>
            </w:r>
            <w:bookmarkEnd w:id="19"/>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0" w:name="专业代码"/>
            <w:r>
              <w:rPr>
                <w:rFonts w:ascii="宋体" w:hAnsi="宋体"/>
                <w:b/>
                <w:sz w:val="21"/>
                <w:szCs w:val="21"/>
              </w:rPr>
              <w:t>EC：28.03.01;28.08.01;28.08.02;28.08.03;28.08.04;28.08.05</w:t>
            </w:r>
          </w:p>
          <w:p>
            <w:pPr>
              <w:spacing w:line="260" w:lineRule="exact"/>
              <w:rPr>
                <w:rFonts w:ascii="宋体" w:hAnsi="宋体"/>
                <w:b/>
                <w:sz w:val="21"/>
                <w:szCs w:val="21"/>
              </w:rPr>
            </w:pPr>
            <w:r>
              <w:rPr>
                <w:rFonts w:ascii="宋体" w:hAnsi="宋体"/>
                <w:b/>
                <w:sz w:val="21"/>
                <w:szCs w:val="21"/>
              </w:rPr>
              <w:t>E：28.03.01;28.08.01;28.08.02;28.08.03;28.08.04;28.08.05</w:t>
            </w:r>
          </w:p>
          <w:p>
            <w:pPr>
              <w:spacing w:line="260" w:lineRule="exact"/>
              <w:rPr>
                <w:rFonts w:ascii="宋体" w:hAnsi="宋体"/>
                <w:b/>
                <w:sz w:val="21"/>
                <w:szCs w:val="21"/>
              </w:rPr>
            </w:pPr>
            <w:r>
              <w:rPr>
                <w:rFonts w:ascii="宋体" w:hAnsi="宋体"/>
                <w:b/>
                <w:sz w:val="21"/>
                <w:szCs w:val="21"/>
              </w:rPr>
              <w:t>O：28.03.01;28.08.01;28.08.02;28.08.03;28.08.04;28.08.05</w:t>
            </w:r>
            <w:bookmarkEnd w:id="2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 xml:space="preserve">2019年12月27日 </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 xml:space="preserve">2019年12月27日 </w:t>
      </w:r>
      <w:r>
        <w:rPr>
          <w:rFonts w:hint="eastAsia" w:ascii="宋体" w:hAnsi="宋体"/>
          <w:b/>
          <w:sz w:val="21"/>
          <w:szCs w:val="21"/>
        </w:rPr>
        <w:t>至</w:t>
      </w:r>
      <w:r>
        <w:rPr>
          <w:rFonts w:hint="eastAsia" w:ascii="宋体" w:hAnsi="宋体"/>
          <w:b/>
          <w:sz w:val="21"/>
          <w:szCs w:val="21"/>
          <w:lang w:val="en-US" w:eastAsia="zh-CN"/>
        </w:rPr>
        <w:t>2020年11月23日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1、组织及其环境的识别情况</w:t>
            </w:r>
          </w:p>
          <w:p>
            <w:pPr>
              <w:spacing w:line="24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themeColor="text1"/>
                <w:sz w:val="21"/>
                <w:szCs w:val="21"/>
                <w:lang w:eastAsia="zh-CN"/>
              </w:rPr>
              <w:t>南京国骄装饰工程有限公司</w:t>
            </w:r>
            <w:r>
              <w:rPr>
                <w:rFonts w:hint="eastAsia" w:asciiTheme="minorEastAsia" w:hAnsiTheme="minorEastAsia" w:eastAsiaTheme="minorEastAsia" w:cstheme="minorEastAsia"/>
                <w:color w:val="000000" w:themeColor="text1"/>
                <w:sz w:val="21"/>
                <w:szCs w:val="21"/>
              </w:rPr>
              <w:t>于201</w:t>
            </w:r>
            <w:r>
              <w:rPr>
                <w:rFonts w:hint="eastAsia" w:asciiTheme="minorEastAsia" w:hAnsiTheme="minorEastAsia" w:eastAsiaTheme="minorEastAsia" w:cstheme="minorEastAsia"/>
                <w:color w:val="000000" w:themeColor="text1"/>
                <w:sz w:val="21"/>
                <w:szCs w:val="21"/>
                <w:lang w:val="en-US" w:eastAsia="zh-CN"/>
              </w:rPr>
              <w:t>6</w:t>
            </w:r>
            <w:r>
              <w:rPr>
                <w:rFonts w:hint="eastAsia" w:asciiTheme="minorEastAsia" w:hAnsiTheme="minorEastAsia" w:eastAsiaTheme="minorEastAsia" w:cstheme="minorEastAsia"/>
                <w:color w:val="000000" w:themeColor="text1"/>
                <w:sz w:val="21"/>
                <w:szCs w:val="21"/>
              </w:rPr>
              <w:t>年</w:t>
            </w:r>
            <w:r>
              <w:rPr>
                <w:rFonts w:hint="eastAsia" w:asciiTheme="minorEastAsia" w:hAnsiTheme="minorEastAsia" w:eastAsiaTheme="minorEastAsia" w:cstheme="minorEastAsia"/>
                <w:color w:val="000000" w:themeColor="text1"/>
                <w:sz w:val="21"/>
                <w:szCs w:val="21"/>
                <w:lang w:val="en-US" w:eastAsia="zh-CN"/>
              </w:rPr>
              <w:t>10</w:t>
            </w:r>
            <w:r>
              <w:rPr>
                <w:rFonts w:hint="eastAsia" w:asciiTheme="minorEastAsia" w:hAnsiTheme="minorEastAsia" w:eastAsiaTheme="minorEastAsia" w:cstheme="minorEastAsia"/>
                <w:color w:val="000000" w:themeColor="text1"/>
                <w:sz w:val="21"/>
                <w:szCs w:val="21"/>
              </w:rPr>
              <w:t>月</w:t>
            </w:r>
            <w:r>
              <w:rPr>
                <w:rFonts w:hint="eastAsia" w:asciiTheme="minorEastAsia" w:hAnsiTheme="minorEastAsia" w:eastAsiaTheme="minorEastAsia" w:cstheme="minorEastAsia"/>
                <w:color w:val="000000" w:themeColor="text1"/>
                <w:sz w:val="21"/>
                <w:szCs w:val="21"/>
                <w:lang w:val="en-US" w:eastAsia="zh-CN"/>
              </w:rPr>
              <w:t>20</w:t>
            </w:r>
            <w:r>
              <w:rPr>
                <w:rFonts w:hint="eastAsia" w:asciiTheme="minorEastAsia" w:hAnsiTheme="minorEastAsia" w:eastAsiaTheme="minorEastAsia" w:cstheme="minorEastAsia"/>
                <w:color w:val="000000" w:themeColor="text1"/>
                <w:sz w:val="21"/>
                <w:szCs w:val="21"/>
              </w:rPr>
              <w:t>日在</w:t>
            </w:r>
            <w:r>
              <w:rPr>
                <w:rFonts w:hint="eastAsia" w:asciiTheme="minorEastAsia" w:hAnsiTheme="minorEastAsia" w:eastAsiaTheme="minorEastAsia" w:cstheme="minorEastAsia"/>
                <w:color w:val="000000" w:themeColor="text1"/>
                <w:sz w:val="21"/>
                <w:szCs w:val="21"/>
                <w:lang w:val="en-US" w:eastAsia="zh-CN"/>
              </w:rPr>
              <w:t>南京市江北新区</w:t>
            </w:r>
            <w:r>
              <w:rPr>
                <w:rFonts w:hint="eastAsia" w:asciiTheme="minorEastAsia" w:hAnsiTheme="minorEastAsia" w:eastAsiaTheme="minorEastAsia" w:cstheme="minorEastAsia"/>
                <w:color w:val="000000" w:themeColor="text1"/>
                <w:sz w:val="21"/>
                <w:szCs w:val="21"/>
              </w:rPr>
              <w:t>工商行政管理局注册成立的一家专业从事</w:t>
            </w:r>
            <w:r>
              <w:rPr>
                <w:rFonts w:hint="eastAsia" w:asciiTheme="minorEastAsia" w:hAnsiTheme="minorEastAsia" w:eastAsiaTheme="minorEastAsia" w:cstheme="minorEastAsia"/>
                <w:color w:val="000000" w:themeColor="text1"/>
                <w:sz w:val="21"/>
                <w:szCs w:val="21"/>
                <w:lang w:val="en-US" w:eastAsia="zh-CN"/>
              </w:rPr>
              <w:t>建筑装修装饰工程、防水防腐保温工程、建筑工程市政公用工程施工</w:t>
            </w:r>
            <w:r>
              <w:rPr>
                <w:rFonts w:hint="eastAsia" w:asciiTheme="minorEastAsia" w:hAnsiTheme="minorEastAsia" w:eastAsiaTheme="minorEastAsia" w:cstheme="minorEastAsia"/>
                <w:color w:val="000000" w:themeColor="text1"/>
                <w:sz w:val="21"/>
                <w:szCs w:val="21"/>
              </w:rPr>
              <w:t>的有限公司，公司位于</w:t>
            </w:r>
            <w:r>
              <w:rPr>
                <w:rFonts w:hint="eastAsia" w:asciiTheme="minorEastAsia" w:hAnsiTheme="minorEastAsia" w:eastAsiaTheme="minorEastAsia" w:cstheme="minorEastAsia"/>
                <w:color w:val="000000" w:themeColor="text1"/>
                <w:sz w:val="21"/>
                <w:szCs w:val="21"/>
                <w:lang w:val="en-US" w:eastAsia="zh-CN"/>
              </w:rPr>
              <w:t>南京市江北新区江浦街道浦珠南路26号紫晶龙华广场02幢407室</w:t>
            </w:r>
            <w:r>
              <w:rPr>
                <w:rFonts w:hint="eastAsia" w:asciiTheme="minorEastAsia" w:hAnsiTheme="minorEastAsia" w:eastAsiaTheme="minorEastAsia" w:cstheme="minorEastAsia"/>
                <w:color w:val="000000" w:themeColor="text1"/>
                <w:sz w:val="21"/>
                <w:szCs w:val="21"/>
              </w:rPr>
              <w:t>，公司注册资本</w:t>
            </w:r>
            <w:r>
              <w:rPr>
                <w:rFonts w:hint="eastAsia" w:asciiTheme="minorEastAsia" w:hAnsiTheme="minorEastAsia" w:eastAsiaTheme="minorEastAsia" w:cstheme="minorEastAsia"/>
                <w:color w:val="000000" w:themeColor="text1"/>
                <w:sz w:val="21"/>
                <w:szCs w:val="21"/>
                <w:lang w:val="en-US" w:eastAsia="zh-CN"/>
              </w:rPr>
              <w:t>4080</w:t>
            </w:r>
            <w:r>
              <w:rPr>
                <w:rFonts w:hint="eastAsia" w:asciiTheme="minorEastAsia" w:hAnsiTheme="minorEastAsia" w:eastAsiaTheme="minorEastAsia" w:cstheme="minorEastAsia"/>
                <w:color w:val="000000" w:themeColor="text1"/>
                <w:sz w:val="21"/>
                <w:szCs w:val="21"/>
              </w:rPr>
              <w:t>万元。现有建筑工程、市政公用工程的施工等各类相关专业技术人员</w:t>
            </w:r>
            <w:r>
              <w:rPr>
                <w:rFonts w:hint="eastAsia" w:asciiTheme="minorEastAsia" w:hAnsiTheme="minorEastAsia" w:eastAsiaTheme="minorEastAsia" w:cstheme="minorEastAsia"/>
                <w:color w:val="000000" w:themeColor="text1"/>
                <w:sz w:val="21"/>
                <w:szCs w:val="21"/>
                <w:lang w:val="en-US" w:eastAsia="zh-CN"/>
              </w:rPr>
              <w:t>50</w:t>
            </w:r>
            <w:r>
              <w:rPr>
                <w:rFonts w:hint="eastAsia" w:asciiTheme="minorEastAsia" w:hAnsiTheme="minorEastAsia" w:eastAsiaTheme="minorEastAsia" w:cstheme="minorEastAsia"/>
                <w:color w:val="000000" w:themeColor="text1"/>
                <w:sz w:val="21"/>
                <w:szCs w:val="21"/>
              </w:rPr>
              <w:t>多人。 其中：</w:t>
            </w:r>
            <w:r>
              <w:rPr>
                <w:rFonts w:hint="eastAsia" w:asciiTheme="minorEastAsia" w:hAnsiTheme="minorEastAsia" w:eastAsiaTheme="minorEastAsia" w:cstheme="minorEastAsia"/>
                <w:color w:val="000000" w:themeColor="text1"/>
                <w:sz w:val="21"/>
                <w:szCs w:val="21"/>
                <w:lang w:val="en-US" w:eastAsia="zh-CN"/>
              </w:rPr>
              <w:t>A证1人，B证2人，C证1人，市政建造师二级2人，工程师2人，维修电工四级3人，装饰镶钻贴工四级2人，涂装工四级2人，架子工四级1人，防水工四级1人，抺灰工四级2人，</w:t>
            </w:r>
            <w:r>
              <w:rPr>
                <w:rFonts w:hint="eastAsia" w:asciiTheme="minorEastAsia" w:hAnsiTheme="minorEastAsia" w:eastAsiaTheme="minorEastAsia" w:cstheme="minorEastAsia"/>
                <w:color w:val="000000" w:themeColor="text1"/>
                <w:sz w:val="21"/>
                <w:szCs w:val="21"/>
              </w:rPr>
              <w:t>公司拥有</w:t>
            </w:r>
            <w:r>
              <w:rPr>
                <w:rFonts w:hint="eastAsia" w:asciiTheme="minorEastAsia" w:hAnsiTheme="minorEastAsia" w:eastAsiaTheme="minorEastAsia" w:cstheme="minorEastAsia"/>
                <w:color w:val="000000" w:themeColor="text1"/>
                <w:sz w:val="21"/>
                <w:szCs w:val="21"/>
                <w:lang w:val="en-US" w:eastAsia="zh-CN"/>
              </w:rPr>
              <w:t>装饰装修和市政</w:t>
            </w:r>
            <w:r>
              <w:rPr>
                <w:rFonts w:hint="eastAsia" w:asciiTheme="minorEastAsia" w:hAnsiTheme="minorEastAsia" w:eastAsiaTheme="minorEastAsia" w:cstheme="minorEastAsia"/>
                <w:color w:val="000000" w:themeColor="text1"/>
                <w:sz w:val="21"/>
                <w:szCs w:val="21"/>
              </w:rPr>
              <w:t>施工设备，能够满足相关</w:t>
            </w:r>
            <w:r>
              <w:rPr>
                <w:rFonts w:hint="eastAsia" w:asciiTheme="minorEastAsia" w:hAnsiTheme="minorEastAsia" w:eastAsiaTheme="minorEastAsia" w:cstheme="minorEastAsia"/>
                <w:color w:val="000000" w:themeColor="text1"/>
                <w:sz w:val="21"/>
                <w:szCs w:val="21"/>
                <w:lang w:val="en-US" w:eastAsia="zh-CN"/>
              </w:rPr>
              <w:t>装饰装修和</w:t>
            </w:r>
            <w:r>
              <w:rPr>
                <w:rFonts w:hint="eastAsia" w:asciiTheme="minorEastAsia" w:hAnsiTheme="minorEastAsia" w:eastAsiaTheme="minorEastAsia" w:cstheme="minorEastAsia"/>
                <w:color w:val="000000" w:themeColor="text1"/>
                <w:sz w:val="21"/>
                <w:szCs w:val="21"/>
              </w:rPr>
              <w:t>市政道路建设之需要</w:t>
            </w:r>
            <w:r>
              <w:rPr>
                <w:rFonts w:hint="eastAsia" w:asciiTheme="minorEastAsia" w:hAnsiTheme="minorEastAsia" w:eastAsiaTheme="minorEastAsia" w:cstheme="minorEastAsia"/>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themeColor="text1"/>
                <w:sz w:val="21"/>
                <w:szCs w:val="21"/>
              </w:rPr>
              <w:t>相关方需求和期望识别情况</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相关方：员工、顾客 、政府机构、审核机构、供方、银行、税务、邻居单位、物业等</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需求和期望：服务质量符合顾客要求；及时交货；价格合理等。</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对相关方的要求的监视和评审的方法多样，通过QQ和微信等现代通讯手段是常用的便捷而又高效主要方法。</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公司确定的相关方有员工、客户、政府机构、审核机构、供方等。</w:t>
            </w:r>
          </w:p>
          <w:p>
            <w:pPr>
              <w:spacing w:line="24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themeColor="text1"/>
                <w:sz w:val="21"/>
                <w:szCs w:val="21"/>
              </w:rPr>
              <w:t>理解员工诉求的形式为谈心、茶话会等；理解政府机构等相关方的形式主要为电话沟通、上门拜访等；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质量/环境/安全方针：</w:t>
            </w:r>
          </w:p>
          <w:p>
            <w:pPr>
              <w:spacing w:line="240" w:lineRule="exact"/>
              <w:ind w:firstLine="420" w:firstLineChars="200"/>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绿色施工，创建优质工程、持续改进，满足顾客要求；</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遵守法规，降低能源消耗、关爱生命，确保员工健康。</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Q</w:t>
            </w:r>
            <w:r>
              <w:rPr>
                <w:rFonts w:hint="eastAsia" w:asciiTheme="minorEastAsia" w:hAnsiTheme="minorEastAsia" w:eastAsiaTheme="minorEastAsia" w:cstheme="minorEastAsia"/>
                <w:color w:val="000000" w:themeColor="text1"/>
                <w:sz w:val="21"/>
                <w:szCs w:val="21"/>
                <w:lang w:val="en-US" w:eastAsia="zh-CN"/>
              </w:rPr>
              <w:t>J</w:t>
            </w:r>
            <w:r>
              <w:rPr>
                <w:rFonts w:hint="eastAsia" w:asciiTheme="minorEastAsia" w:hAnsiTheme="minorEastAsia" w:eastAsiaTheme="minorEastAsia" w:cstheme="minorEastAsia"/>
                <w:color w:val="000000" w:themeColor="text1"/>
                <w:sz w:val="21"/>
                <w:szCs w:val="21"/>
              </w:rPr>
              <w:t>EO管理方针在手册上进行了确定和发布，并通过文件发放的形式发放至各部门、给员工进行了宣传培训。Q</w:t>
            </w:r>
            <w:r>
              <w:rPr>
                <w:rFonts w:hint="eastAsia" w:asciiTheme="minorEastAsia" w:hAnsiTheme="minorEastAsia" w:eastAsiaTheme="minorEastAsia" w:cstheme="minorEastAsia"/>
                <w:color w:val="000000" w:themeColor="text1"/>
                <w:sz w:val="21"/>
                <w:szCs w:val="21"/>
                <w:lang w:val="en-US" w:eastAsia="zh-CN"/>
              </w:rPr>
              <w:t>J</w:t>
            </w:r>
            <w:r>
              <w:rPr>
                <w:rFonts w:hint="eastAsia" w:asciiTheme="minorEastAsia" w:hAnsiTheme="minorEastAsia" w:eastAsiaTheme="minorEastAsia" w:cstheme="minorEastAsia"/>
                <w:color w:val="000000" w:themeColor="text1"/>
                <w:sz w:val="21"/>
                <w:szCs w:val="21"/>
              </w:rPr>
              <w:t>EO方针对外进行了发布。</w:t>
            </w:r>
          </w:p>
          <w:p>
            <w:pPr>
              <w:spacing w:line="240" w:lineRule="exact"/>
              <w:ind w:firstLine="420" w:firstLineChars="200"/>
              <w:rPr>
                <w:rFonts w:ascii="宋体" w:hAnsi="宋体"/>
                <w:b/>
                <w:sz w:val="21"/>
                <w:szCs w:val="21"/>
              </w:rPr>
            </w:pPr>
            <w:r>
              <w:rPr>
                <w:rFonts w:hint="eastAsia" w:asciiTheme="minorEastAsia" w:hAnsiTheme="minorEastAsia" w:eastAsiaTheme="minorEastAsia" w:cstheme="minorEastAsia"/>
                <w:color w:val="000000" w:themeColor="text1"/>
                <w:sz w:val="21"/>
                <w:szCs w:val="21"/>
              </w:rPr>
              <w:t>手册对方针的内涵进行了阐述，为目标制定及评审提供了框架，每年至少一次,在管理评审会议上讨论其适宜性和改进机会。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hint="eastAsia" w:ascii="宋体" w:hAnsi="宋体"/>
                <w:b/>
                <w:color w:val="000000" w:themeColor="text1"/>
                <w:spacing w:val="-10"/>
                <w:sz w:val="20"/>
                <w:szCs w:val="20"/>
              </w:rPr>
            </w:pPr>
            <w:r>
              <w:rPr>
                <w:rFonts w:hint="eastAsia" w:ascii="宋体" w:hAnsi="宋体"/>
                <w:b/>
                <w:color w:val="000000" w:themeColor="text1"/>
                <w:spacing w:val="-10"/>
                <w:sz w:val="20"/>
                <w:szCs w:val="20"/>
                <w:lang w:val="en-US" w:eastAsia="zh-CN"/>
              </w:rPr>
              <w:t>4</w:t>
            </w:r>
            <w:r>
              <w:rPr>
                <w:rFonts w:hint="eastAsia" w:ascii="宋体" w:hAnsi="宋体"/>
                <w:b/>
                <w:color w:val="000000" w:themeColor="text1"/>
                <w:spacing w:val="-10"/>
                <w:sz w:val="20"/>
                <w:szCs w:val="20"/>
              </w:rPr>
              <w:t>风险识别与控制策划（QMS）</w:t>
            </w:r>
          </w:p>
          <w:p>
            <w:pPr>
              <w:spacing w:line="24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公司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spacing w:line="240" w:lineRule="exact"/>
              <w:ind w:firstLine="420" w:firstLineChars="200"/>
              <w:rPr>
                <w:rFonts w:ascii="宋体" w:hAnsi="宋体"/>
                <w:b/>
                <w:sz w:val="21"/>
                <w:szCs w:val="21"/>
              </w:rPr>
            </w:pPr>
            <w:r>
              <w:rPr>
                <w:rFonts w:hint="eastAsia" w:asciiTheme="minorEastAsia" w:hAnsiTheme="minorEastAsia" w:eastAsiaTheme="minorEastAsia" w:cstheme="minorEastAsia"/>
                <w:color w:val="000000" w:themeColor="text1"/>
                <w:sz w:val="21"/>
                <w:szCs w:val="21"/>
              </w:rPr>
              <w:t>公司通过业内交流会、展会学习、座谈会、每周工作例会、QQ、微信等进行内外部沟通，并定期进行评审，形成会议记录。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5.1市政项目：</w:t>
            </w:r>
          </w:p>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施工工艺：</w:t>
            </w:r>
            <w:r>
              <w:rPr>
                <w:rFonts w:asciiTheme="minorEastAsia" w:hAnsiTheme="minorEastAsia" w:eastAsiaTheme="minorEastAsia"/>
                <w:szCs w:val="21"/>
              </w:rPr>
              <w:t>施工前准备</w:t>
            </w:r>
            <w:r>
              <w:rPr>
                <w:rFonts w:hint="eastAsia" w:asciiTheme="minorEastAsia" w:hAnsiTheme="minorEastAsia" w:eastAsiaTheme="minorEastAsia"/>
                <w:szCs w:val="21"/>
              </w:rPr>
              <w:t>→测量放线定位→沟槽开挖→管道基础、安装（管道接口）※→检查井砌筑→闭水试验※→回填</w:t>
            </w:r>
          </w:p>
          <w:p>
            <w:pPr>
              <w:ind w:firstLine="480" w:firstLineChars="200"/>
              <w:rPr>
                <w:rFonts w:ascii="宋体" w:hAnsi="宋体"/>
                <w:color w:val="000000" w:themeColor="text1"/>
                <w:sz w:val="20"/>
                <w:szCs w:val="20"/>
              </w:rPr>
            </w:pPr>
            <w:r>
              <w:rPr>
                <w:rFonts w:hint="eastAsia" w:asciiTheme="minorEastAsia" w:hAnsiTheme="minorEastAsia" w:eastAsiaTheme="minorEastAsia"/>
                <w:szCs w:val="21"/>
              </w:rPr>
              <w:t>※管道基础、安装（管道接口）、闭水试验为关键过程，也是隐蔽工程。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5.2房建项目</w:t>
            </w:r>
          </w:p>
          <w:p>
            <w:pPr>
              <w:ind w:firstLine="400" w:firstLineChars="200"/>
            </w:pPr>
            <w:r>
              <w:rPr>
                <w:rFonts w:hint="eastAsia" w:ascii="宋体" w:hAnsi="宋体"/>
                <w:color w:val="000000" w:themeColor="text1"/>
                <w:sz w:val="20"/>
                <w:szCs w:val="20"/>
              </w:rPr>
              <w:t>主要工艺流程：</w:t>
            </w:r>
            <w:r>
              <w:rPr>
                <w:rFonts w:hint="eastAsia" w:ascii="宋体" w:hAnsi="宋体"/>
                <w:szCs w:val="21"/>
              </w:rPr>
              <w:t>拆除地面、墙体→拆除内外墙面层等→搭设外脚手架→砌筑墙体(含圈梁构造柱)→抹灰(含砌筑墙体和改造位→油漆 →外铝板出新→窗安装→塑胶地面→ 栏杆出新→脚手架拆除→垃圾外运→扫尾、验收</w:t>
            </w:r>
          </w:p>
          <w:p>
            <w:pPr>
              <w:tabs>
                <w:tab w:val="left" w:pos="540"/>
              </w:tabs>
              <w:spacing w:line="300" w:lineRule="exact"/>
              <w:ind w:left="201" w:hanging="201" w:hangingChars="100"/>
              <w:rPr>
                <w:rFonts w:ascii="宋体" w:hAnsi="宋体"/>
                <w:color w:val="000000" w:themeColor="text1"/>
                <w:sz w:val="20"/>
                <w:szCs w:val="20"/>
              </w:rPr>
            </w:pPr>
            <w:r>
              <w:rPr>
                <w:rFonts w:hint="eastAsia" w:ascii="宋体" w:hAnsi="宋体"/>
                <w:b/>
                <w:color w:val="000000" w:themeColor="text1"/>
                <w:sz w:val="20"/>
                <w:szCs w:val="20"/>
              </w:rPr>
              <w:t>需要确认过程</w:t>
            </w:r>
            <w:r>
              <w:rPr>
                <w:rFonts w:hint="eastAsia" w:ascii="宋体" w:hAnsi="宋体"/>
                <w:color w:val="000000" w:themeColor="text1"/>
                <w:sz w:val="20"/>
                <w:szCs w:val="20"/>
              </w:rPr>
              <w:t>（含隐蔽工程）：基础土方挖填、混凝土浇筑、焊接、防水施工。</w:t>
            </w:r>
          </w:p>
          <w:p>
            <w:pPr>
              <w:tabs>
                <w:tab w:val="left" w:pos="540"/>
              </w:tabs>
              <w:spacing w:line="300" w:lineRule="exact"/>
              <w:ind w:left="200" w:hanging="200" w:hangingChars="100"/>
              <w:rPr>
                <w:rFonts w:ascii="宋体" w:hAnsi="宋体"/>
                <w:color w:val="000000" w:themeColor="text1"/>
                <w:sz w:val="20"/>
                <w:szCs w:val="20"/>
              </w:rPr>
            </w:pPr>
            <w:r>
              <w:rPr>
                <w:rFonts w:hint="eastAsia" w:ascii="宋体" w:hAnsi="宋体"/>
                <w:color w:val="000000" w:themeColor="text1"/>
                <w:sz w:val="20"/>
                <w:szCs w:val="20"/>
              </w:rPr>
              <w:t>特殊过程：土方挖填、焊接过程、</w:t>
            </w:r>
            <w:r>
              <w:rPr>
                <w:rFonts w:hint="eastAsia" w:asciiTheme="minorEastAsia" w:hAnsiTheme="minorEastAsia" w:eastAsiaTheme="minorEastAsia"/>
                <w:szCs w:val="21"/>
              </w:rPr>
              <w:t>闭水试验</w:t>
            </w:r>
            <w:r>
              <w:rPr>
                <w:rFonts w:hint="eastAsia" w:ascii="宋体" w:hAnsi="宋体"/>
                <w:color w:val="000000" w:themeColor="text1"/>
                <w:sz w:val="20"/>
                <w:szCs w:val="20"/>
              </w:rPr>
              <w:t>。</w:t>
            </w:r>
          </w:p>
          <w:p>
            <w:pPr>
              <w:tabs>
                <w:tab w:val="left" w:pos="540"/>
              </w:tabs>
              <w:spacing w:line="300" w:lineRule="exact"/>
              <w:ind w:left="201" w:leftChars="0" w:hanging="201" w:hangingChars="100"/>
              <w:rPr>
                <w:rFonts w:ascii="宋体" w:hAnsi="宋体"/>
                <w:b/>
                <w:sz w:val="21"/>
                <w:szCs w:val="21"/>
              </w:rPr>
            </w:pPr>
            <w:r>
              <w:rPr>
                <w:rFonts w:ascii="宋体" w:hAnsi="宋体"/>
                <w:b/>
                <w:color w:val="000000" w:themeColor="text1"/>
                <w:sz w:val="20"/>
                <w:szCs w:val="20"/>
              </w:rPr>
              <w:pict>
                <v:shape id="_x0000_s2052" o:spid="_x0000_s2052"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rPr>
              <w:t>Q</w:t>
            </w:r>
            <w:r>
              <w:rPr>
                <w:rFonts w:ascii="宋体" w:hAnsi="宋体"/>
                <w:color w:val="000000" w:themeColor="text1"/>
                <w:sz w:val="20"/>
                <w:szCs w:val="20"/>
              </w:rPr>
              <w:t>8</w:t>
            </w:r>
            <w:r>
              <w:rPr>
                <w:rFonts w:ascii="宋体" w:hAnsi="宋体"/>
                <w:color w:val="000000" w:themeColor="text1"/>
                <w:sz w:val="20"/>
                <w:szCs w:val="20"/>
                <w:u w:val="single"/>
              </w:rPr>
              <w:t>.3</w:t>
            </w:r>
            <w:r>
              <w:rPr>
                <w:rFonts w:hint="eastAsia" w:ascii="宋体" w:hAnsi="宋体"/>
                <w:color w:val="000000" w:themeColor="text1"/>
                <w:sz w:val="20"/>
                <w:szCs w:val="20"/>
                <w:u w:val="single"/>
              </w:rPr>
              <w:t xml:space="preserve"> J</w:t>
            </w:r>
            <w:r>
              <w:rPr>
                <w:rFonts w:ascii="宋体" w:hAnsi="宋体"/>
                <w:color w:val="000000" w:themeColor="text1"/>
                <w:sz w:val="20"/>
                <w:szCs w:val="20"/>
                <w:u w:val="single"/>
              </w:rPr>
              <w:t>10.3</w:t>
            </w:r>
            <w:r>
              <w:rPr>
                <w:rFonts w:hint="eastAsia" w:ascii="宋体" w:hAnsi="宋体"/>
                <w:b/>
                <w:color w:val="000000" w:themeColor="text1"/>
                <w:sz w:val="20"/>
                <w:szCs w:val="20"/>
              </w:rPr>
              <w:t xml:space="preserve"> ，不适用理由：</w:t>
            </w:r>
            <w:r>
              <w:rPr>
                <w:rFonts w:hint="eastAsia" w:ascii="宋体" w:hAnsi="宋体"/>
                <w:color w:val="000000" w:themeColor="text1"/>
                <w:sz w:val="20"/>
                <w:szCs w:val="20"/>
              </w:rPr>
              <w:t>公司所进行工程，依据业主提供图纸进行施工，既没有设计资质和能力，也不承担设计开发的责任，因此8.3/10.3设计和开发过程这只对施工组织设计和相关的专项方案进行策划，对每个项目的人员的配备情况、设备的配备情等。故Q</w:t>
            </w:r>
            <w:r>
              <w:rPr>
                <w:rFonts w:ascii="宋体" w:hAnsi="宋体"/>
                <w:color w:val="000000" w:themeColor="text1"/>
                <w:sz w:val="20"/>
                <w:szCs w:val="20"/>
              </w:rPr>
              <w:t>8.3</w:t>
            </w:r>
            <w:r>
              <w:rPr>
                <w:rFonts w:hint="eastAsia" w:ascii="宋体" w:hAnsi="宋体"/>
                <w:color w:val="000000" w:themeColor="text1"/>
                <w:sz w:val="20"/>
                <w:szCs w:val="20"/>
              </w:rPr>
              <w:t>J</w:t>
            </w:r>
            <w:r>
              <w:rPr>
                <w:rFonts w:ascii="宋体" w:hAnsi="宋体"/>
                <w:color w:val="000000" w:themeColor="text1"/>
                <w:sz w:val="20"/>
                <w:szCs w:val="20"/>
              </w:rPr>
              <w:t>10.3</w:t>
            </w:r>
            <w:r>
              <w:rPr>
                <w:rFonts w:hint="eastAsia" w:ascii="宋体" w:hAnsi="宋体"/>
                <w:color w:val="000000" w:themeColor="text1"/>
                <w:sz w:val="20"/>
                <w:szCs w:val="20"/>
              </w:rPr>
              <w:t>不适用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tabs>
                <w:tab w:val="left" w:pos="540"/>
              </w:tabs>
              <w:spacing w:line="300" w:lineRule="exact"/>
              <w:ind w:left="230" w:leftChars="96" w:firstLine="200" w:firstLineChars="100"/>
              <w:rPr>
                <w:rFonts w:ascii="宋体" w:hAnsi="宋体"/>
                <w:color w:val="000000" w:themeColor="text1"/>
                <w:sz w:val="20"/>
                <w:szCs w:val="20"/>
              </w:rPr>
            </w:pPr>
            <w:r>
              <w:rPr>
                <w:rFonts w:hint="eastAsia" w:ascii="宋体" w:hAnsi="宋体"/>
                <w:color w:val="000000" w:themeColor="text1"/>
                <w:sz w:val="20"/>
                <w:szCs w:val="20"/>
              </w:rPr>
              <w:t>提供有《环境和职业健康安全运行管理制度》，内容包括环境因素、危险源的识别、评价、汇总</w:t>
            </w:r>
            <w:r>
              <w:rPr>
                <w:rFonts w:hint="eastAsia" w:cs="宋体" w:asciiTheme="minorEastAsia" w:hAnsiTheme="minorEastAsia" w:eastAsiaTheme="minorEastAsia"/>
                <w:szCs w:val="21"/>
              </w:rPr>
              <w:t>；</w:t>
            </w:r>
            <w:r>
              <w:rPr>
                <w:rFonts w:hint="eastAsia" w:ascii="宋体" w:hAnsi="宋体"/>
                <w:color w:val="000000" w:themeColor="text1"/>
                <w:sz w:val="20"/>
                <w:szCs w:val="20"/>
              </w:rPr>
              <w:t>重要环境因素和不可接受风险的控制。</w:t>
            </w:r>
          </w:p>
          <w:p>
            <w:pPr>
              <w:tabs>
                <w:tab w:val="left" w:pos="540"/>
              </w:tabs>
              <w:spacing w:line="300" w:lineRule="exact"/>
              <w:ind w:left="230" w:leftChars="96" w:firstLine="200" w:firstLineChars="100"/>
              <w:rPr>
                <w:rFonts w:ascii="宋体" w:hAnsi="宋体"/>
                <w:color w:val="000000" w:themeColor="text1"/>
                <w:sz w:val="20"/>
                <w:szCs w:val="20"/>
              </w:rPr>
            </w:pPr>
            <w:r>
              <w:rPr>
                <w:rFonts w:hint="eastAsia" w:ascii="宋体" w:hAnsi="宋体"/>
                <w:color w:val="000000" w:themeColor="text1"/>
                <w:sz w:val="20"/>
                <w:szCs w:val="20"/>
              </w:rPr>
              <w:t>识别环境因素：防水涂料泄漏</w:t>
            </w:r>
            <w:r>
              <w:rPr>
                <w:rFonts w:ascii="宋体" w:hAnsi="宋体"/>
                <w:color w:val="000000" w:themeColor="text1"/>
                <w:sz w:val="20"/>
                <w:szCs w:val="20"/>
              </w:rPr>
              <w:t>、</w:t>
            </w:r>
            <w:r>
              <w:rPr>
                <w:rFonts w:hint="eastAsia" w:ascii="宋体" w:hAnsi="宋体"/>
                <w:color w:val="000000" w:themeColor="text1"/>
                <w:sz w:val="20"/>
                <w:szCs w:val="20"/>
              </w:rPr>
              <w:t>石棉粉尘、振动棒作业、石棉粉尘、固废排放</w:t>
            </w:r>
            <w:r>
              <w:rPr>
                <w:rFonts w:ascii="宋体" w:hAnsi="宋体"/>
                <w:color w:val="000000" w:themeColor="text1"/>
                <w:sz w:val="20"/>
                <w:szCs w:val="20"/>
              </w:rPr>
              <w:t>、</w:t>
            </w:r>
            <w:r>
              <w:rPr>
                <w:rFonts w:hint="eastAsia" w:ascii="宋体" w:hAnsi="宋体"/>
                <w:color w:val="000000" w:themeColor="text1"/>
                <w:sz w:val="20"/>
                <w:szCs w:val="20"/>
              </w:rPr>
              <w:t>油漆涂料等有害物质限量超标</w:t>
            </w:r>
            <w:r>
              <w:rPr>
                <w:rFonts w:ascii="宋体" w:hAnsi="宋体"/>
                <w:color w:val="000000" w:themeColor="text1"/>
                <w:sz w:val="20"/>
                <w:szCs w:val="20"/>
              </w:rPr>
              <w:t>等</w:t>
            </w:r>
          </w:p>
          <w:p>
            <w:pPr>
              <w:tabs>
                <w:tab w:val="left" w:pos="540"/>
              </w:tabs>
              <w:spacing w:line="300" w:lineRule="exact"/>
              <w:ind w:left="200" w:hanging="200" w:hangingChars="100"/>
              <w:rPr>
                <w:rFonts w:ascii="宋体" w:hAnsi="宋体"/>
                <w:color w:val="000000" w:themeColor="text1"/>
                <w:sz w:val="20"/>
                <w:szCs w:val="20"/>
              </w:rPr>
            </w:pPr>
            <w:r>
              <w:rPr>
                <w:rFonts w:hint="eastAsia" w:ascii="宋体" w:hAnsi="宋体"/>
                <w:color w:val="000000" w:themeColor="text1"/>
                <w:sz w:val="20"/>
                <w:szCs w:val="20"/>
              </w:rPr>
              <w:t>识别</w:t>
            </w:r>
            <w:r>
              <w:rPr>
                <w:rFonts w:ascii="宋体" w:hAnsi="宋体"/>
                <w:color w:val="000000" w:themeColor="text1"/>
                <w:sz w:val="20"/>
                <w:szCs w:val="20"/>
              </w:rPr>
              <w:t>危险源包括：</w:t>
            </w:r>
            <w:r>
              <w:rPr>
                <w:rFonts w:hint="eastAsia" w:ascii="宋体" w:hAnsi="宋体"/>
                <w:color w:val="000000" w:themeColor="text1"/>
                <w:sz w:val="20"/>
                <w:szCs w:val="20"/>
              </w:rPr>
              <w:t>坍塌</w:t>
            </w:r>
            <w:r>
              <w:rPr>
                <w:rFonts w:ascii="宋体" w:hAnsi="宋体"/>
                <w:color w:val="000000" w:themeColor="text1"/>
                <w:sz w:val="20"/>
                <w:szCs w:val="20"/>
              </w:rPr>
              <w:t>、</w:t>
            </w:r>
            <w:r>
              <w:rPr>
                <w:rFonts w:hint="eastAsia" w:ascii="宋体" w:hAnsi="宋体"/>
                <w:color w:val="000000" w:themeColor="text1"/>
                <w:sz w:val="20"/>
                <w:szCs w:val="20"/>
              </w:rPr>
              <w:t>高处坠落</w:t>
            </w:r>
            <w:r>
              <w:rPr>
                <w:rFonts w:ascii="宋体" w:hAnsi="宋体"/>
                <w:color w:val="000000" w:themeColor="text1"/>
                <w:sz w:val="20"/>
                <w:szCs w:val="20"/>
              </w:rPr>
              <w:t>、</w:t>
            </w:r>
            <w:r>
              <w:rPr>
                <w:rFonts w:hint="eastAsia" w:ascii="宋体" w:hAnsi="宋体"/>
                <w:color w:val="000000" w:themeColor="text1"/>
                <w:sz w:val="20"/>
                <w:szCs w:val="20"/>
              </w:rPr>
              <w:t>物体打击</w:t>
            </w:r>
            <w:r>
              <w:rPr>
                <w:rFonts w:ascii="宋体" w:hAnsi="宋体"/>
                <w:color w:val="000000" w:themeColor="text1"/>
                <w:sz w:val="20"/>
                <w:szCs w:val="20"/>
              </w:rPr>
              <w:t>、施工现场临时用电</w:t>
            </w:r>
            <w:r>
              <w:rPr>
                <w:rFonts w:hint="eastAsia" w:ascii="宋体" w:hAnsi="宋体"/>
                <w:color w:val="000000" w:themeColor="text1"/>
                <w:sz w:val="20"/>
                <w:szCs w:val="20"/>
              </w:rPr>
              <w:t>触电、粉尘造成矽肺病、机械伤害、擦伤、起重伤害、夏季高温</w:t>
            </w:r>
            <w:r>
              <w:rPr>
                <w:rFonts w:ascii="宋体" w:hAnsi="宋体"/>
                <w:color w:val="000000" w:themeColor="text1"/>
                <w:sz w:val="20"/>
                <w:szCs w:val="20"/>
              </w:rPr>
              <w:t>等；</w:t>
            </w:r>
          </w:p>
          <w:p>
            <w:pPr>
              <w:tabs>
                <w:tab w:val="left" w:pos="540"/>
              </w:tabs>
              <w:spacing w:line="300" w:lineRule="exact"/>
              <w:ind w:left="230" w:leftChars="96" w:firstLine="200" w:firstLineChars="100"/>
              <w:rPr>
                <w:rFonts w:ascii="宋体" w:hAnsi="宋体"/>
                <w:color w:val="000000" w:themeColor="text1"/>
                <w:sz w:val="20"/>
                <w:szCs w:val="20"/>
              </w:rPr>
            </w:pPr>
            <w:r>
              <w:rPr>
                <w:rFonts w:hint="eastAsia" w:ascii="宋体" w:hAnsi="宋体"/>
                <w:color w:val="000000" w:themeColor="text1"/>
                <w:sz w:val="20"/>
                <w:szCs w:val="20"/>
              </w:rPr>
              <w:t>重大环境因素识和不可接受风险有以下：</w:t>
            </w:r>
          </w:p>
          <w:p>
            <w:pPr>
              <w:pStyle w:val="14"/>
              <w:numPr>
                <w:ilvl w:val="0"/>
                <w:numId w:val="2"/>
              </w:numPr>
              <w:tabs>
                <w:tab w:val="left" w:pos="540"/>
              </w:tabs>
              <w:spacing w:line="300" w:lineRule="exact"/>
              <w:ind w:firstLineChars="0"/>
              <w:rPr>
                <w:rFonts w:ascii="宋体" w:hAnsi="宋体"/>
                <w:color w:val="000000" w:themeColor="text1"/>
                <w:sz w:val="20"/>
                <w:szCs w:val="20"/>
              </w:rPr>
            </w:pPr>
            <w:r>
              <w:rPr>
                <w:rFonts w:hint="eastAsia" w:ascii="宋体" w:hAnsi="宋体"/>
                <w:color w:val="000000" w:themeColor="text1"/>
                <w:sz w:val="20"/>
                <w:szCs w:val="20"/>
              </w:rPr>
              <w:t>火灾爆炸；2）废水排放；3）固废（含危险固废）的排放；4）噪声排放；5）粉尘排放</w:t>
            </w:r>
          </w:p>
          <w:p>
            <w:pPr>
              <w:spacing w:line="300" w:lineRule="exact"/>
              <w:rPr>
                <w:rFonts w:ascii="宋体" w:hAnsi="宋体"/>
                <w:b/>
                <w:sz w:val="21"/>
                <w:szCs w:val="21"/>
              </w:rPr>
            </w:pPr>
            <w:r>
              <w:rPr>
                <w:rFonts w:hint="eastAsia" w:ascii="宋体" w:hAnsi="宋体"/>
                <w:color w:val="000000" w:themeColor="text1"/>
                <w:sz w:val="20"/>
                <w:szCs w:val="20"/>
              </w:rPr>
              <w:t>抽查</w:t>
            </w:r>
            <w:r>
              <w:rPr>
                <w:rFonts w:ascii="宋体" w:hAnsi="宋体"/>
                <w:color w:val="000000" w:themeColor="text1"/>
                <w:sz w:val="20"/>
                <w:szCs w:val="20"/>
              </w:rPr>
              <w:t>制定</w:t>
            </w:r>
            <w:r>
              <w:rPr>
                <w:rFonts w:hint="eastAsia" w:ascii="宋体" w:hAnsi="宋体"/>
                <w:color w:val="000000" w:themeColor="text1"/>
                <w:sz w:val="20"/>
                <w:szCs w:val="20"/>
              </w:rPr>
              <w:t>的</w:t>
            </w:r>
            <w:r>
              <w:rPr>
                <w:rFonts w:ascii="宋体" w:hAnsi="宋体"/>
                <w:color w:val="000000" w:themeColor="text1"/>
                <w:sz w:val="20"/>
                <w:szCs w:val="20"/>
              </w:rPr>
              <w:t>管理方案，落实管控资金预算，</w:t>
            </w:r>
            <w:r>
              <w:rPr>
                <w:rFonts w:hint="eastAsia" w:ascii="宋体" w:hAnsi="宋体"/>
                <w:color w:val="000000" w:themeColor="text1"/>
                <w:sz w:val="20"/>
                <w:szCs w:val="20"/>
              </w:rPr>
              <w:t>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jc w:val="left"/>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 w:val="20"/>
                <w:szCs w:val="20"/>
              </w:rPr>
              <w:t>业内交流会、展会学习、座谈会、每周工作例会、QQ、微信等进行内外部沟通内顺畅。</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法律法规要求：已经及时更新</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Cs w:val="21"/>
              </w:rPr>
              <w:t xml:space="preserve">5. </w:t>
            </w:r>
            <w:r>
              <w:rPr>
                <w:rFonts w:hint="eastAsia" w:ascii="宋体" w:hAnsi="宋体"/>
                <w:b/>
                <w:color w:val="000000" w:themeColor="text1"/>
                <w:szCs w:val="21"/>
              </w:rPr>
              <w:t>目标、方案</w:t>
            </w:r>
          </w:p>
          <w:p>
            <w:pPr>
              <w:ind w:firstLine="480" w:firstLineChars="200"/>
              <w:rPr>
                <w:szCs w:val="21"/>
              </w:rPr>
            </w:pPr>
            <w:r>
              <w:rPr>
                <w:rFonts w:hint="eastAsia"/>
                <w:szCs w:val="21"/>
              </w:rPr>
              <w:t>公司质量、环境和职业健康安全目标:</w:t>
            </w:r>
          </w:p>
          <w:p>
            <w:pPr>
              <w:ind w:firstLine="480" w:firstLineChars="200"/>
              <w:rPr>
                <w:szCs w:val="21"/>
              </w:rPr>
            </w:pPr>
            <w:r>
              <w:rPr>
                <w:rFonts w:hint="eastAsia"/>
                <w:szCs w:val="21"/>
              </w:rPr>
              <w:t>工程验收一次交验合格率≥95%；</w:t>
            </w:r>
          </w:p>
          <w:p>
            <w:pPr>
              <w:ind w:firstLine="480" w:firstLineChars="200"/>
              <w:rPr>
                <w:szCs w:val="21"/>
              </w:rPr>
            </w:pPr>
            <w:r>
              <w:rPr>
                <w:rFonts w:hint="eastAsia"/>
                <w:szCs w:val="21"/>
              </w:rPr>
              <w:t>顾客满意度≥95%；</w:t>
            </w:r>
          </w:p>
          <w:p>
            <w:pPr>
              <w:ind w:firstLine="480" w:firstLineChars="200"/>
              <w:rPr>
                <w:szCs w:val="21"/>
              </w:rPr>
            </w:pPr>
            <w:r>
              <w:rPr>
                <w:rFonts w:hint="eastAsia"/>
                <w:szCs w:val="21"/>
              </w:rPr>
              <w:t>固体废弃物合理处置率100%；</w:t>
            </w:r>
          </w:p>
          <w:p>
            <w:pPr>
              <w:ind w:firstLine="480" w:firstLineChars="200"/>
              <w:rPr>
                <w:szCs w:val="21"/>
              </w:rPr>
            </w:pPr>
            <w:r>
              <w:rPr>
                <w:rFonts w:hint="eastAsia"/>
                <w:szCs w:val="21"/>
              </w:rPr>
              <w:t>火灾事故为0；</w:t>
            </w:r>
          </w:p>
          <w:p>
            <w:pPr>
              <w:pStyle w:val="2"/>
              <w:ind w:firstLine="520" w:firstLineChars="200"/>
            </w:pPr>
            <w:r>
              <w:rPr>
                <w:rFonts w:hint="eastAsia"/>
                <w:szCs w:val="21"/>
              </w:rPr>
              <w:t>噪声污染投诉率为0；</w:t>
            </w:r>
          </w:p>
          <w:p>
            <w:pPr>
              <w:ind w:firstLine="480" w:firstLineChars="200"/>
              <w:rPr>
                <w:szCs w:val="21"/>
              </w:rPr>
            </w:pPr>
            <w:r>
              <w:rPr>
                <w:rFonts w:hint="eastAsia"/>
                <w:szCs w:val="21"/>
              </w:rPr>
              <w:t>重大人身伤亡事故为0；</w:t>
            </w:r>
          </w:p>
          <w:p>
            <w:pPr>
              <w:pStyle w:val="2"/>
              <w:ind w:firstLine="520" w:firstLineChars="200"/>
              <w:rPr>
                <w:szCs w:val="21"/>
              </w:rPr>
            </w:pPr>
            <w:r>
              <w:rPr>
                <w:rFonts w:hint="eastAsia"/>
                <w:szCs w:val="21"/>
              </w:rPr>
              <w:t>轻伤事故</w:t>
            </w:r>
            <w:r>
              <w:rPr>
                <w:rFonts w:hint="eastAsia" w:ascii="宋体" w:hAnsi="宋体" w:cs="宋体"/>
                <w:szCs w:val="21"/>
              </w:rPr>
              <w:t>≤</w:t>
            </w:r>
            <w:r>
              <w:rPr>
                <w:rFonts w:hint="eastAsia"/>
                <w:szCs w:val="21"/>
              </w:rPr>
              <w:t>2</w:t>
            </w:r>
            <w:r>
              <w:rPr>
                <w:rFonts w:ascii="Arial" w:hAnsi="Arial" w:cs="Arial"/>
                <w:szCs w:val="21"/>
              </w:rPr>
              <w:t>‰</w:t>
            </w:r>
            <w:r>
              <w:rPr>
                <w:rFonts w:hint="eastAsia"/>
                <w:szCs w:val="21"/>
              </w:rPr>
              <w:t>。</w:t>
            </w:r>
          </w:p>
          <w:p>
            <w:pPr>
              <w:rPr>
                <w:rFonts w:ascii="宋体" w:hAnsi="宋体"/>
                <w:b/>
                <w:sz w:val="21"/>
                <w:szCs w:val="21"/>
              </w:rPr>
            </w:pPr>
            <w:r>
              <w:rPr>
                <w:rFonts w:hint="eastAsia"/>
                <w:szCs w:val="21"/>
              </w:rPr>
              <w:t>查《目标考核表》对目标进行考核，均达到目标，考核人：综合部</w:t>
            </w:r>
            <w:r>
              <w:rPr>
                <w:szCs w:val="21"/>
              </w:rPr>
              <w:t xml:space="preserve">     审核：</w:t>
            </w:r>
            <w:r>
              <w:rPr>
                <w:rFonts w:hint="eastAsia"/>
                <w:szCs w:val="21"/>
              </w:rPr>
              <w:t>秦国涛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6. 文件与记录控制 (文审修订后文件与标准的符合程度评价、</w:t>
            </w:r>
            <w:r>
              <w:rPr>
                <w:rFonts w:hint="eastAsia" w:asciiTheme="minorEastAsia" w:hAnsiTheme="minorEastAsia" w:eastAsiaTheme="minorEastAsia" w:cstheme="minorEastAsia"/>
                <w:b/>
                <w:color w:val="000000" w:themeColor="text1"/>
                <w:spacing w:val="-4"/>
                <w:sz w:val="21"/>
                <w:szCs w:val="21"/>
              </w:rPr>
              <w:t>文件</w:t>
            </w:r>
            <w:r>
              <w:rPr>
                <w:rFonts w:hint="eastAsia" w:asciiTheme="minorEastAsia" w:hAnsiTheme="minorEastAsia" w:eastAsiaTheme="minorEastAsia" w:cstheme="minorEastAsia"/>
                <w:b/>
                <w:color w:val="000000" w:themeColor="text1"/>
                <w:sz w:val="21"/>
                <w:szCs w:val="21"/>
              </w:rPr>
              <w:t>控制管理等)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文件控制程序》，体系文件生效实施日期为2019年7月10日，文件规定了质量、环境和安全职业健康文件的编制、审批、评审、编号、回收、发放、更改、换版、作废等的管理和控制。根据一阶段问题清单进行了对《管理手册》和程序文件的修改和完善。</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查《受控文件清单》，包括管理手册、管理制度42个，另有公司制定的《应急预案汇编》、《工程作业指导书》、《管理制度》《操作规程》等文件。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《管理手册》文件编号：GJ/QESJ/SC-2019</w:t>
            </w:r>
            <w:r>
              <w:rPr>
                <w:rFonts w:hint="eastAsia" w:asciiTheme="minorEastAsia" w:hAnsiTheme="minorEastAsia" w:eastAsiaTheme="minorEastAsia" w:cstheme="minorEastAsia"/>
                <w:bCs/>
                <w:sz w:val="21"/>
                <w:szCs w:val="21"/>
              </w:rPr>
              <w:t>A版</w:t>
            </w:r>
            <w:r>
              <w:rPr>
                <w:rFonts w:hint="eastAsia" w:asciiTheme="minorEastAsia" w:hAnsiTheme="minorEastAsia" w:eastAsiaTheme="minorEastAsia" w:cstheme="minorEastAsia"/>
                <w:sz w:val="21"/>
                <w:szCs w:val="21"/>
              </w:rPr>
              <w:t>编制：综合部  批准：秦国涛</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《质量环境职业健康安全程序文件》文件编号：GJ/QESJ/CX-2019</w:t>
            </w:r>
            <w:r>
              <w:rPr>
                <w:rFonts w:hint="eastAsia" w:asciiTheme="minorEastAsia" w:hAnsiTheme="minorEastAsia" w:eastAsiaTheme="minorEastAsia" w:cstheme="minorEastAsia"/>
                <w:bCs/>
                <w:sz w:val="21"/>
                <w:szCs w:val="21"/>
              </w:rPr>
              <w:t>A版</w:t>
            </w:r>
            <w:r>
              <w:rPr>
                <w:rFonts w:hint="eastAsia" w:asciiTheme="minorEastAsia" w:hAnsiTheme="minorEastAsia" w:eastAsiaTheme="minorEastAsia" w:cstheme="minorEastAsia"/>
                <w:sz w:val="21"/>
                <w:szCs w:val="21"/>
              </w:rPr>
              <w:t xml:space="preserve">  编制：综合部 批准：秦国涛   实施日期为2019年7月10日</w:t>
            </w:r>
          </w:p>
          <w:p>
            <w:pPr>
              <w:tabs>
                <w:tab w:val="left" w:pos="540"/>
              </w:tabs>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《管理制度》 编制：综合部  审核：吴诗雅 批准：秦国涛 实施日期为2019年7月10日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人力资源的简要说明.:</w:t>
            </w:r>
          </w:p>
          <w:p>
            <w:pPr>
              <w:tabs>
                <w:tab w:val="center" w:pos="3169"/>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spacing w:line="3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人员配置目前基本满足企业需求，但企业发展，仍需储备人才。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themeColor="text1"/>
                <w:sz w:val="21"/>
                <w:szCs w:val="21"/>
              </w:rPr>
              <w:t>设备设施（包括信息系统）、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见挖掘机、压路机、磨面机、运输车等保养计划，</w:t>
            </w:r>
            <w:r>
              <w:rPr>
                <w:rFonts w:hint="eastAsia" w:asciiTheme="minorEastAsia" w:hAnsiTheme="minorEastAsia" w:eastAsiaTheme="minorEastAsia" w:cstheme="minorEastAsia"/>
                <w:color w:val="000000"/>
                <w:sz w:val="21"/>
                <w:szCs w:val="21"/>
              </w:rPr>
              <w:t>抽：《设备</w:t>
            </w:r>
            <w:r>
              <w:rPr>
                <w:rFonts w:hint="eastAsia" w:asciiTheme="minorEastAsia" w:hAnsiTheme="minorEastAsia" w:eastAsiaTheme="minorEastAsia" w:cstheme="minorEastAsia"/>
                <w:sz w:val="21"/>
                <w:szCs w:val="21"/>
              </w:rPr>
              <w:t xml:space="preserve">/施工机具 </w:t>
            </w:r>
            <w:r>
              <w:rPr>
                <w:rFonts w:hint="eastAsia" w:asciiTheme="minorEastAsia" w:hAnsiTheme="minorEastAsia" w:eastAsiaTheme="minorEastAsia" w:cstheme="minorEastAsia"/>
                <w:color w:val="000000"/>
                <w:sz w:val="21"/>
                <w:szCs w:val="21"/>
              </w:rPr>
              <w:t>维修保养记录》，挖掘机，</w:t>
            </w:r>
            <w:r>
              <w:rPr>
                <w:rFonts w:hint="eastAsia" w:asciiTheme="minorEastAsia" w:hAnsiTheme="minorEastAsia" w:eastAsiaTheme="minorEastAsia" w:cstheme="minorEastAsia"/>
                <w:sz w:val="21"/>
                <w:szCs w:val="21"/>
              </w:rPr>
              <w:t xml:space="preserve"> 215型，维修保养内容：发动机更换机油、机滤、空滤、更换液压油，保养维修人员：姜正发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特种设备</w:t>
            </w:r>
            <w:r>
              <w:rPr>
                <w:rFonts w:hint="eastAsia" w:asciiTheme="minorEastAsia" w:hAnsiTheme="minorEastAsia" w:eastAsiaTheme="minorEastAsia" w:cstheme="minorEastAsia"/>
                <w:sz w:val="21"/>
                <w:szCs w:val="21"/>
              </w:rPr>
              <w:t xml:space="preserve">：无 </w:t>
            </w:r>
          </w:p>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sz w:val="21"/>
                <w:szCs w:val="21"/>
              </w:rPr>
              <w:t xml:space="preserve"> 公司根据质量管理和工程施工的需要，各项目部配备了办公用房及设施、施工机具设备、通讯、运输和信息系统等基础设施，对于施工机具的配备、验收、安装调试、使用维护等进行了规定，明确了各部门及项目部及有关岗位的职责。</w:t>
            </w:r>
          </w:p>
          <w:p>
            <w:pPr>
              <w:spacing w:line="240" w:lineRule="exact"/>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过程运行环境</w:t>
            </w:r>
          </w:p>
          <w:p>
            <w:pPr>
              <w:spacing w:line="24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策划并制定了《工作环境和管理要求》，办公区域工作环境整洁，办公场所宽敞明亮，配置了空调，灭火器等；现场看到施工现场设有临时综合办、生活区和临时仓库等，设置了机械停放场和材料堆放场，设备保养较好，擦拭干净。现场配备灭火器数个。运行环境，现场巡查，设备、材料等放置整齐，规范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p>
            <w:pPr>
              <w:tabs>
                <w:tab w:val="center" w:pos="3169"/>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监视和测量设备在工程部统一保管，各项目现场负责执行公司制定的监视和测量设备管理制度。</w:t>
            </w:r>
          </w:p>
          <w:p>
            <w:pPr>
              <w:tabs>
                <w:tab w:val="center" w:pos="3169"/>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项目工程现场的监视和测量设备，由检查员负责保管、使用，经过培训的专业人员，确保仪器的防止失效、损坏。经询问，没有计算机软件应用于监视和测量情况。</w:t>
            </w:r>
          </w:p>
          <w:p>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见《监视和测量设备台帐》,台帐记录公司目前在用监视和测量设备，包括钢卷尺、水准仪等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知识</w:t>
            </w:r>
          </w:p>
          <w:p>
            <w:pPr>
              <w:tabs>
                <w:tab w:val="center" w:pos="3169"/>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管理制度汇编》《施工方案》《验收规范》《专业技术要求》等</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环保设施/职业健康安全设施：</w:t>
            </w:r>
          </w:p>
          <w:p>
            <w:pPr>
              <w:spacing w:line="24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包括垃圾桶、消防管线；安全设施配置主要有：围栏、标识牌、灭火器、消防器材等，项目部定期维护与保养。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1. 针对方针的管理职责评审</w:t>
            </w:r>
          </w:p>
          <w:p>
            <w:pPr>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包括了企业组织机构图、职能分配表。该公司目前成立了以下部门：综合部、工程部、项目部、财务部。公司编制了《岗位任职要求》对总经理、管理者代表、各部门的岗位职责和权限进行了规定，内容全面合理。各部门、岗位之间通过会议、文件传阅、培训等方式相互了解职责与权限。</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项目部设置有：项目经理、施工员、材料员、安全员、质检员、资料员等岗位</w:t>
            </w:r>
          </w:p>
          <w:p>
            <w:pPr>
              <w:spacing w:line="300" w:lineRule="exact"/>
              <w:ind w:left="1"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抽查：组织机构图、职能分配表、职责描述，基本保持一致。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2. 组织内部沟通的充分性与效果；（OHSMS员工参与风险管理/健康安全事务的关心和影响力；组织对外联络关注顾客的感受情况、信息交流包括通报相关方的情况等）</w:t>
            </w:r>
          </w:p>
          <w:p>
            <w:pPr>
              <w:tabs>
                <w:tab w:val="center" w:pos="3169"/>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公司和部门负责人清楚公司及各部门与QES相关的内部沟通和外部信息交流的项目、内容等。如：公布、公开质量方针和质量目标、与客户（监理方）、外部供方等相关产品和服务的沟通等。</w:t>
            </w:r>
          </w:p>
          <w:p>
            <w:pPr>
              <w:tabs>
                <w:tab w:val="center" w:pos="3169"/>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--主要的事项内、外沟通均事先做出策划或规定，</w:t>
            </w:r>
          </w:p>
          <w:p>
            <w:pPr>
              <w:tabs>
                <w:tab w:val="center" w:pos="3169"/>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内容包括：沟通事项、沟通的职责、沟通对象、沟通内容、沟通时机、沟通方式等等。</w:t>
            </w:r>
          </w:p>
          <w:p>
            <w:pPr>
              <w:tabs>
                <w:tab w:val="center" w:pos="3169"/>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--通常的沟通方式包括但不限于：会议、文件、改善提案、通告、内部联络书、内部电脑网络、培训、拜访、交谈、提交报告等。</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--现场查看记录并口头交流确认：公司及行政部负责的相关内、外沟通效果基本满足要求。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3.  QMS 组织对重要过程实施控制的结果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查到“工程概况”“施工流程图”“施工进度表”等，相应工序的施工记录，记录了施工部位、活动、施工人员、天气、技术复核、材料配件设备进退场等信息。核对施工进度表，与计划基本保持一致。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1：项目部根据策划的安排实施施工准备，制度编制：查到：土方开挖及支护方案、模板工程操作规程、架子工操作规程、管道安装方案、文明施工保证措施及环境保护、质量管理制度、质量事故责任追究制度、专项施工方案、施工技术标准、工程质量检验制度、施工过程管理制度、材料设备构配件进场检验及管理制度、施工机具管理制度等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查2《施工组织设计报审表》、《开工申请单》、《进场人员报审表》、《进场设备报验单》、《施工现场质量、安全生产管理体系包审表》，有项目负责人、总监理等签字盖章，基本合理。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查3 图纸会审及技术交底：建设、监理、施工方参加，提出的问题，均现场进行了解决，提供会审记录。提供本项目施工图纸，提供接收记录，资料员负责管理。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查4 监理通知单、技术、质量交底记录等：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查5、</w:t>
            </w:r>
            <w:r>
              <w:rPr>
                <w:rFonts w:hint="eastAsia" w:asciiTheme="minorEastAsia" w:hAnsiTheme="minorEastAsia" w:eastAsiaTheme="minorEastAsia" w:cstheme="minorEastAsia"/>
                <w:color w:val="000000"/>
                <w:kern w:val="0"/>
                <w:sz w:val="21"/>
                <w:szCs w:val="21"/>
              </w:rPr>
              <w:t>需确认的过程</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color w:val="000000"/>
                <w:kern w:val="0"/>
                <w:sz w:val="21"/>
                <w:szCs w:val="21"/>
              </w:rPr>
              <w:t>混凝土浇筑、</w:t>
            </w:r>
            <w:r>
              <w:rPr>
                <w:rFonts w:hint="eastAsia" w:asciiTheme="minorEastAsia" w:hAnsiTheme="minorEastAsia" w:eastAsiaTheme="minorEastAsia" w:cstheme="minorEastAsia"/>
                <w:sz w:val="21"/>
                <w:szCs w:val="21"/>
              </w:rPr>
              <w:t>涂装</w:t>
            </w:r>
            <w:r>
              <w:rPr>
                <w:rFonts w:hint="eastAsia" w:asciiTheme="minorEastAsia" w:hAnsiTheme="minorEastAsia" w:eastAsiaTheme="minorEastAsia" w:cstheme="minorEastAsia"/>
                <w:color w:val="000000"/>
                <w:kern w:val="0"/>
                <w:sz w:val="21"/>
                <w:szCs w:val="21"/>
              </w:rPr>
              <w:t>、焊接。</w:t>
            </w:r>
          </w:p>
          <w:p>
            <w:pPr>
              <w:snapToGrid w:val="0"/>
              <w:spacing w:beforeLines="20" w:afterLines="20"/>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kern w:val="0"/>
                <w:sz w:val="21"/>
                <w:szCs w:val="21"/>
              </w:rPr>
              <w:t>查确认准则，见《特殊过程确认记录》。另见，经监理批准《施工组织设计》中的混凝土浇筑、</w:t>
            </w:r>
            <w:r>
              <w:rPr>
                <w:rFonts w:hint="eastAsia" w:asciiTheme="minorEastAsia" w:hAnsiTheme="minorEastAsia" w:eastAsiaTheme="minorEastAsia" w:cstheme="minorEastAsia"/>
                <w:sz w:val="21"/>
                <w:szCs w:val="21"/>
              </w:rPr>
              <w:t>涂装</w:t>
            </w:r>
            <w:r>
              <w:rPr>
                <w:rFonts w:hint="eastAsia" w:asciiTheme="minorEastAsia" w:hAnsiTheme="minorEastAsia" w:eastAsiaTheme="minorEastAsia" w:cstheme="minorEastAsia"/>
                <w:color w:val="000000"/>
                <w:kern w:val="0"/>
                <w:sz w:val="21"/>
                <w:szCs w:val="21"/>
              </w:rPr>
              <w:t>、焊接施工方案和相关标准要求。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4.QMS产品/服务的标准、协议/规范的有效性以及产品/服务质量符合要求，向顾客稳定提供合格产品的情况；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查检验批、分部分项及隐蔽工程、关键过程验收：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部经理介绍，实施自查，对检查中发现的问题，项目部通过向施工班组及时整改，项目经理派人检查验收，并将检查结果在项目部质量会议中进行公布。提供质量会议记录，检查内容包括工程质量，现场安全检查记录等。</w:t>
            </w:r>
          </w:p>
          <w:p>
            <w:pPr>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工程部按要求接受上级单位监督检查和甲方监督检查。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5 .QMS国家/地方技术监督部门监测（检测、委托检测、定期监测、型式试验等）、抽查结果</w:t>
            </w:r>
          </w:p>
          <w:p>
            <w:pPr>
              <w:pStyle w:val="2"/>
              <w:rPr>
                <w:rFonts w:hint="eastAsia"/>
                <w:sz w:val="21"/>
                <w:szCs w:val="21"/>
              </w:rPr>
            </w:pPr>
          </w:p>
          <w:p>
            <w:pPr>
              <w:ind w:firstLine="210" w:firstLineChars="100"/>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kern w:val="0"/>
                <w:sz w:val="21"/>
                <w:szCs w:val="21"/>
              </w:rPr>
              <w:t>抽室内空气质量检测报告</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000000"/>
                <w:kern w:val="0"/>
                <w:sz w:val="21"/>
                <w:szCs w:val="21"/>
              </w:rPr>
              <w:t>抽</w:t>
            </w:r>
            <w:r>
              <w:rPr>
                <w:rFonts w:hint="eastAsia" w:asciiTheme="minorEastAsia" w:hAnsiTheme="minorEastAsia" w:eastAsiaTheme="minorEastAsia" w:cstheme="minorEastAsia"/>
                <w:kern w:val="0"/>
                <w:sz w:val="21"/>
                <w:szCs w:val="21"/>
              </w:rPr>
              <w:t>排水管道检测评估报告书</w:t>
            </w:r>
            <w:r>
              <w:rPr>
                <w:rFonts w:hint="eastAsia" w:asciiTheme="minorEastAsia" w:hAnsiTheme="minorEastAsia" w:eastAsiaTheme="minorEastAsia" w:cstheme="minorEastAsia"/>
                <w:kern w:val="0"/>
                <w:sz w:val="21"/>
                <w:szCs w:val="21"/>
                <w:lang w:val="en-US" w:eastAsia="zh-CN"/>
              </w:rPr>
              <w:t>等，具体见项目部审核记录。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4"/>
              </w:numPr>
              <w:spacing w:line="240" w:lineRule="exact"/>
              <w:rPr>
                <w:rFonts w:hint="eastAsia" w:asciiTheme="minorEastAsia" w:hAnsiTheme="minorEastAsia" w:eastAsiaTheme="minorEastAsia" w:cstheme="minorEastAsia"/>
                <w:b/>
                <w:color w:val="000000" w:themeColor="text1"/>
                <w:spacing w:val="-8"/>
                <w:sz w:val="21"/>
                <w:szCs w:val="21"/>
              </w:rPr>
            </w:pPr>
            <w:r>
              <w:rPr>
                <w:rFonts w:hint="eastAsia" w:asciiTheme="minorEastAsia" w:hAnsiTheme="minorEastAsia" w:eastAsiaTheme="minorEastAsia" w:cstheme="minorEastAsia"/>
                <w:b/>
                <w:color w:val="000000" w:themeColor="text1"/>
                <w:spacing w:val="-8"/>
                <w:sz w:val="21"/>
                <w:szCs w:val="21"/>
              </w:rPr>
              <w:t>不合格品/项的识别、控制;</w:t>
            </w:r>
          </w:p>
          <w:p>
            <w:pPr>
              <w:pStyle w:val="2"/>
              <w:numPr>
                <w:ilvl w:val="0"/>
                <w:numId w:val="4"/>
              </w:numPr>
              <w:rPr>
                <w:rFonts w:hint="eastAsia"/>
                <w:sz w:val="21"/>
                <w:szCs w:val="21"/>
              </w:rPr>
            </w:pPr>
          </w:p>
          <w:p>
            <w:pPr>
              <w:spacing w:line="300" w:lineRule="exact"/>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质量问题处理依据《不合格品控制程序》,对不合格品和不符合的识别和控制有明确的规定。</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themeColor="text1"/>
                <w:sz w:val="21"/>
                <w:szCs w:val="21"/>
              </w:rPr>
              <w:t>部门负责人介绍：实际施工过程中，工程部会同项目部的技术负责人组成检查组，定期或不定期对公司在建项目进行检查，检查包括施工质量、环境、安全等内容；监理单位对于发现我公司施工质量问题发出《监理整改通知》公司要求项目部按不合格品或不符合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7. EMS组织对重要环境因素实施控制的结果</w:t>
            </w:r>
          </w:p>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（EMS对重要环境因素控制，重大环境因素对周边环境产生的影响及控制;对相关方施加影响）</w:t>
            </w:r>
          </w:p>
          <w:p>
            <w:pPr>
              <w:spacing w:line="300" w:lineRule="exac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编制了《环境因素的识别与评价控制程序》《危险源辩识、风险评价和风险控制策划程序》符合标准要求.提供的“环境因素识别评价表”“重要环境因素清单”，评价考虑了三种时态现在、过去、将来、三种状态、异常、正常、紧急考虑了法律法规，并进行了评价。</w:t>
            </w:r>
          </w:p>
          <w:p>
            <w:pPr>
              <w:spacing w:line="3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themeColor="text1"/>
                <w:sz w:val="21"/>
                <w:szCs w:val="21"/>
              </w:rPr>
              <w:t>对重要环境因素的控制措施包括制定管理制度、监督检查、应急预案、培训等。提供《重要环境因素识别清单》，其中涉及的重要环境因素：噪声排放、潜在火灾、</w:t>
            </w:r>
            <w:r>
              <w:rPr>
                <w:rFonts w:hint="eastAsia" w:asciiTheme="minorEastAsia" w:hAnsiTheme="minorEastAsia" w:eastAsiaTheme="minorEastAsia" w:cstheme="minorEastAsia"/>
                <w:sz w:val="21"/>
                <w:szCs w:val="21"/>
              </w:rPr>
              <w:t>固体废弃</w:t>
            </w:r>
            <w:r>
              <w:rPr>
                <w:rFonts w:hint="eastAsia" w:asciiTheme="minorEastAsia" w:hAnsiTheme="minorEastAsia" w:eastAsiaTheme="minorEastAsia" w:cstheme="minorEastAsia"/>
                <w:color w:val="000000" w:themeColor="text1"/>
                <w:sz w:val="21"/>
                <w:szCs w:val="21"/>
              </w:rPr>
              <w:t>的排放等项。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8. OHSMS组织对不可接受风险实施控制的结果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查到《危险源辨识与评价一览表》，内容有：作业活动名称、潜在危险因素、时态、状态、可导致事故、可采取控制措施、危险发生的可能性L、损失后果C、频繁程度E、等。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识别出危险源有电器爆炸、作业人员操作失误、防护不当、传动设施防护缺陷、作业人员操作失误、电源线不稳等。优先控制风险采用“LEC”方法进行评价。</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提供《不可接受风险清单》有：坠落 </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sz w:val="21"/>
                <w:szCs w:val="21"/>
              </w:rPr>
              <w:t xml:space="preserve">火灾 </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sz w:val="21"/>
                <w:szCs w:val="21"/>
              </w:rPr>
              <w:t xml:space="preserve">机械伤害 </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sz w:val="21"/>
                <w:szCs w:val="21"/>
              </w:rPr>
              <w:t>噪声等，并制定有控制措施。以上危险源识别基本全面、无遗漏，评价基本合理。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 xml:space="preserve">9. 应急准备与相应活动的演练及对预案可行性的评价(当有规定时)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制定了“应急准备和响应控制程序”，包含有事件级别及不同级别事件的处理程序、事件处理组织机构及</w:t>
            </w:r>
            <w:r>
              <w:rPr>
                <w:rFonts w:hint="eastAsia" w:asciiTheme="minorEastAsia" w:hAnsiTheme="minorEastAsia" w:eastAsiaTheme="minorEastAsia" w:cstheme="minorEastAsia"/>
                <w:sz w:val="21"/>
                <w:szCs w:val="21"/>
              </w:rPr>
              <w:t>职责分工、通用及特殊处理程序、各岗位要求等。具有可操作性。</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现场观察：工程部、项目部现场有灭火器、消防栓等消防器材。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 xml:space="preserve">10. 对特种设备的维护，检定; </w:t>
            </w:r>
          </w:p>
          <w:p>
            <w:pPr>
              <w:spacing w:line="24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000000" w:themeColor="text1"/>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000000" w:themeColor="text1"/>
                <w:sz w:val="21"/>
                <w:szCs w:val="21"/>
              </w:rPr>
              <w:t>11 .对危险化学品销售、使用、储存、运输处置，规定的执行力度(必要时);</w:t>
            </w:r>
            <w:r>
              <w:rPr>
                <w:rFonts w:hint="eastAsia" w:asciiTheme="minorEastAsia" w:hAnsiTheme="minorEastAsia" w:eastAsiaTheme="minorEastAsia" w:cstheme="minorEastAsia"/>
                <w:color w:val="000000" w:themeColor="text1"/>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1. .对质量/环境/职业健康安全目标指标进行定期监测/检查情况</w:t>
            </w:r>
          </w:p>
          <w:p>
            <w:pPr>
              <w:spacing w:line="240" w:lineRule="exact"/>
              <w:ind w:firstLine="105" w:firstLineChars="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公司对需要监视和测量的对象的确定，监视、测量、分析和评价方法的选择，实施监视和测量的时机、实施分析和评价的时机界定体系的绩效和有效性的评价方法的采用及有关监视和测量记录的保留等要求予以较清楚的策划和确定，详见相关程序文件及监视、测量、分析和评价的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w:t>
            </w:r>
          </w:p>
          <w:p>
            <w:pPr>
              <w:spacing w:line="24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公司主要通过日常口头交流、电话回访、登门拜访、定期发放《顾客满意度调查表》等形式来收集了解顾客是否满意的信息。</w:t>
            </w:r>
            <w:r>
              <w:rPr>
                <w:rFonts w:hint="eastAsia" w:asciiTheme="minorEastAsia" w:hAnsiTheme="minorEastAsia" w:eastAsiaTheme="minorEastAsia" w:cstheme="minorEastAsia"/>
                <w:sz w:val="21"/>
                <w:szCs w:val="21"/>
                <w:lang w:val="zh-CN"/>
              </w:rPr>
              <w:t>发放并回收调查表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--调查内容包括：服务收费、产品质量、交付期、服务态度、整体服务及时性等方面</w:t>
            </w:r>
          </w:p>
          <w:p>
            <w:pPr>
              <w:pStyle w:val="2"/>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--统计分析结果</w:t>
            </w:r>
            <w:r>
              <w:rPr>
                <w:rFonts w:hint="eastAsia" w:asciiTheme="minorEastAsia" w:hAnsiTheme="minorEastAsia" w:eastAsiaTheme="minorEastAsia" w:cstheme="minorEastAsia"/>
                <w:sz w:val="21"/>
                <w:szCs w:val="21"/>
                <w:lang w:val="zh-CN"/>
              </w:rPr>
              <w:t>顾客满意度，</w:t>
            </w:r>
            <w:r>
              <w:rPr>
                <w:rFonts w:hint="eastAsia" w:asciiTheme="minorEastAsia" w:hAnsiTheme="minorEastAsia" w:eastAsiaTheme="minorEastAsia" w:cstheme="minorEastAsia"/>
                <w:sz w:val="21"/>
                <w:szCs w:val="21"/>
              </w:rPr>
              <w:t>达到策划要求。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 内审（包括内审策划审核方案中考虑拟审核的过程和区域的状况和重要性）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查管理手册，公司按标准要求编制了《内部审核控制程序》，规定了内部审核的目的、范围、职责、要求、方法频次等，规定每两次内审的时间不得超过12个月。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val="en-US" w:eastAsia="zh-CN"/>
              </w:rPr>
              <w:t>2020</w:t>
            </w:r>
            <w:r>
              <w:rPr>
                <w:rFonts w:hint="eastAsia" w:asciiTheme="minorEastAsia" w:hAnsiTheme="minorEastAsia" w:eastAsiaTheme="minorEastAsia" w:cstheme="minorEastAsia"/>
                <w:sz w:val="21"/>
                <w:szCs w:val="21"/>
              </w:rPr>
              <w:t>年《体系审核实施计划》</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审核时</w:t>
            </w:r>
            <w:r>
              <w:rPr>
                <w:rFonts w:hint="eastAsia" w:asciiTheme="minorEastAsia" w:hAnsiTheme="minorEastAsia" w:eastAsiaTheme="minorEastAsia" w:cstheme="minorEastAsia"/>
                <w:color w:val="auto"/>
                <w:sz w:val="21"/>
                <w:szCs w:val="21"/>
              </w:rPr>
              <w:t>间：</w:t>
            </w:r>
            <w:r>
              <w:rPr>
                <w:rFonts w:hint="eastAsia" w:asciiTheme="minorEastAsia" w:hAnsiTheme="minorEastAsia" w:eastAsiaTheme="minorEastAsia" w:cstheme="minorEastAsia"/>
                <w:color w:val="auto"/>
                <w:sz w:val="21"/>
                <w:szCs w:val="21"/>
                <w:lang w:val="en-US" w:eastAsia="zh-CN"/>
              </w:rPr>
              <w:t>2020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目的：评价管理体系与GB/T19001-2016、GB/T 50430-2017、 GB/T24001-2016 和</w:t>
            </w:r>
            <w:r>
              <w:rPr>
                <w:rFonts w:hint="eastAsia" w:asciiTheme="minorEastAsia" w:hAnsiTheme="minorEastAsia" w:eastAsiaTheme="minorEastAsia" w:cstheme="minorEastAsia"/>
                <w:sz w:val="21"/>
                <w:szCs w:val="21"/>
                <w:lang w:eastAsia="zh-CN"/>
              </w:rPr>
              <w:t>ISO45001:2018</w:t>
            </w:r>
            <w:r>
              <w:rPr>
                <w:rFonts w:hint="eastAsia" w:asciiTheme="minorEastAsia" w:hAnsiTheme="minorEastAsia" w:eastAsiaTheme="minorEastAsia" w:cstheme="minorEastAsia"/>
                <w:sz w:val="21"/>
                <w:szCs w:val="21"/>
              </w:rPr>
              <w:t>标准的符合程度；评价管理体系整体的持续有效性。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范围：本组织质量/环境/安全管理体系覆盖的部门/场所的生产/服务/活动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依据：GB/T19001-2016、GB/T50430-2017、 GB/T24001-2016 和</w:t>
            </w:r>
            <w:r>
              <w:rPr>
                <w:rFonts w:hint="eastAsia" w:asciiTheme="minorEastAsia" w:hAnsiTheme="minorEastAsia" w:eastAsiaTheme="minorEastAsia" w:cstheme="minorEastAsia"/>
                <w:sz w:val="21"/>
                <w:szCs w:val="21"/>
                <w:lang w:eastAsia="zh-CN"/>
              </w:rPr>
              <w:t>ISO45001:2018</w:t>
            </w:r>
            <w:r>
              <w:rPr>
                <w:rFonts w:hint="eastAsia" w:asciiTheme="minorEastAsia" w:hAnsiTheme="minorEastAsia" w:eastAsiaTheme="minorEastAsia" w:cstheme="minorEastAsia"/>
                <w:sz w:val="21"/>
                <w:szCs w:val="21"/>
              </w:rPr>
              <w:t>标准，管理手册，适用法律法规</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审核组组长</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秦国涛</w:t>
            </w:r>
            <w:r>
              <w:rPr>
                <w:rFonts w:hint="eastAsia" w:asciiTheme="minorEastAsia" w:hAnsiTheme="minorEastAsia" w:eastAsiaTheme="minorEastAsia" w:cstheme="minorEastAsia"/>
                <w:color w:val="auto"/>
                <w:sz w:val="21"/>
                <w:szCs w:val="21"/>
              </w:rPr>
              <w:t xml:space="preserve"> ；组员：</w:t>
            </w:r>
            <w:r>
              <w:rPr>
                <w:rFonts w:hint="eastAsia" w:asciiTheme="minorEastAsia" w:hAnsiTheme="minorEastAsia" w:eastAsiaTheme="minorEastAsia" w:cstheme="minorEastAsia"/>
                <w:color w:val="auto"/>
                <w:sz w:val="21"/>
                <w:szCs w:val="21"/>
                <w:lang w:eastAsia="zh-CN"/>
              </w:rPr>
              <w:t>明芳</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审核检查表、</w:t>
            </w:r>
            <w:r>
              <w:rPr>
                <w:rFonts w:hint="eastAsia" w:asciiTheme="minorEastAsia" w:hAnsiTheme="minorEastAsia" w:eastAsiaTheme="minorEastAsia" w:cstheme="minorEastAsia"/>
                <w:color w:val="auto"/>
                <w:sz w:val="21"/>
                <w:szCs w:val="21"/>
                <w:lang w:eastAsia="zh-CN"/>
              </w:rPr>
              <w:t>工程部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财务部</w:t>
            </w:r>
            <w:r>
              <w:rPr>
                <w:rFonts w:hint="eastAsia" w:asciiTheme="minorEastAsia" w:hAnsiTheme="minorEastAsia" w:eastAsiaTheme="minorEastAsia" w:cstheme="minorEastAsia"/>
                <w:color w:val="auto"/>
                <w:sz w:val="21"/>
                <w:szCs w:val="21"/>
              </w:rPr>
              <w:t>审核检查表等审核记录，审核过程及条款基本齐全，不存在审核自己部门的情况。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查本次内审共发现不合格项1个，属一般不符合。涉及</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审核中发现没有“未能</w:t>
            </w:r>
            <w:r>
              <w:rPr>
                <w:rFonts w:hint="eastAsia" w:asciiTheme="minorEastAsia" w:hAnsiTheme="minorEastAsia" w:eastAsiaTheme="minorEastAsia" w:cstheme="minorEastAsia"/>
                <w:color w:val="auto"/>
                <w:sz w:val="21"/>
                <w:szCs w:val="21"/>
                <w:lang w:val="en-US" w:eastAsia="zh-CN"/>
              </w:rPr>
              <w:t>提交对</w:t>
            </w:r>
            <w:r>
              <w:rPr>
                <w:rFonts w:hint="eastAsia" w:asciiTheme="minorEastAsia" w:hAnsiTheme="minorEastAsia" w:eastAsiaTheme="minorEastAsia" w:cstheme="minorEastAsia"/>
                <w:color w:val="auto"/>
                <w:sz w:val="21"/>
                <w:szCs w:val="21"/>
              </w:rPr>
              <w:t>岗位人员能力评估记录”。不符合GB/T 50430-2017标准条款</w:t>
            </w:r>
            <w:r>
              <w:rPr>
                <w:rFonts w:hint="eastAsia" w:asciiTheme="minorEastAsia" w:hAnsiTheme="minorEastAsia" w:eastAsiaTheme="minorEastAsia" w:cstheme="minorEastAsia"/>
                <w:color w:val="auto"/>
                <w:sz w:val="21"/>
                <w:szCs w:val="21"/>
                <w:lang w:val="en-US" w:eastAsia="zh-CN"/>
              </w:rPr>
              <w:t>5.2.4</w:t>
            </w:r>
            <w:r>
              <w:rPr>
                <w:rFonts w:hint="eastAsia" w:asciiTheme="minorEastAsia" w:hAnsiTheme="minorEastAsia" w:eastAsiaTheme="minorEastAsia" w:cstheme="minorEastAsia"/>
                <w:color w:val="auto"/>
                <w:sz w:val="21"/>
                <w:szCs w:val="21"/>
              </w:rPr>
              <w:t>、ISO9001：2015标准条款7.2、ISO14001：2015标准7.2条款、ISO45001：2018标准条款7.2应用</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规定。不合格类型：均为一般不合格，</w:t>
            </w:r>
            <w:r>
              <w:rPr>
                <w:rFonts w:hint="eastAsia" w:asciiTheme="minorEastAsia" w:hAnsiTheme="minorEastAsia" w:eastAsiaTheme="minorEastAsia" w:cstheme="minorEastAsia"/>
                <w:sz w:val="21"/>
                <w:szCs w:val="21"/>
              </w:rPr>
              <w:t>已经对不合格原因进行了分析，制订了纠正措施，并对结果进行了验证。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查，审核结论：公司质量、环境和职业健康安全管理体系的建立符合标准要求、实施有效。</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通过内部审核，公司质量、环境和职业健康安全管理体系的建立实施是有效的，符合标准要求。</w:t>
            </w:r>
          </w:p>
          <w:p>
            <w:pPr>
              <w:spacing w:line="240" w:lineRule="exact"/>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4.管理评审（管理评审体系变更需求，纠正和预防措施、体系有效性等）</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制定并执行《管理评审控制程序》：一年至少要进行一次管理评审，由总经理主持。特殊情况下，可增加管理评审频次。</w:t>
            </w:r>
          </w:p>
          <w:p>
            <w:pPr>
              <w:spacing w:line="32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查管理评审的计划</w:t>
            </w:r>
            <w:r>
              <w:rPr>
                <w:rFonts w:hint="eastAsia" w:asciiTheme="minorEastAsia" w:hAnsiTheme="minorEastAsia" w:eastAsiaTheme="minorEastAsia" w:cstheme="minorEastAsia"/>
                <w:b w:val="0"/>
                <w:bCs/>
                <w:color w:val="auto"/>
                <w:sz w:val="21"/>
                <w:szCs w:val="21"/>
                <w:lang w:val="en-US" w:eastAsia="zh-CN"/>
              </w:rPr>
              <w:t>和管理评审会议资料：</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管理评审的时间：</w:t>
            </w:r>
            <w:r>
              <w:rPr>
                <w:rFonts w:hint="eastAsia" w:asciiTheme="minorEastAsia" w:hAnsiTheme="minorEastAsia" w:eastAsiaTheme="minorEastAsia" w:cstheme="minorEastAsia"/>
                <w:b w:val="0"/>
                <w:bCs/>
                <w:color w:val="auto"/>
                <w:sz w:val="21"/>
                <w:szCs w:val="21"/>
                <w:lang w:val="en-US" w:eastAsia="zh-CN"/>
              </w:rPr>
              <w:t>2020</w:t>
            </w:r>
            <w:r>
              <w:rPr>
                <w:rFonts w:hint="eastAsia" w:asciiTheme="minorEastAsia" w:hAnsiTheme="minorEastAsia" w:eastAsiaTheme="minorEastAsia" w:cstheme="minorEastAsia"/>
                <w:b w:val="0"/>
                <w:bCs/>
                <w:color w:val="auto"/>
                <w:sz w:val="21"/>
                <w:szCs w:val="21"/>
              </w:rPr>
              <w:t>年10月</w:t>
            </w:r>
            <w:r>
              <w:rPr>
                <w:rFonts w:hint="eastAsia" w:asciiTheme="minorEastAsia" w:hAnsiTheme="minorEastAsia" w:eastAsiaTheme="minorEastAsia" w:cstheme="minorEastAsia"/>
                <w:b w:val="0"/>
                <w:bCs/>
                <w:color w:val="auto"/>
                <w:sz w:val="21"/>
                <w:szCs w:val="21"/>
                <w:lang w:val="en-US" w:eastAsia="zh-CN"/>
              </w:rPr>
              <w:t>26</w:t>
            </w:r>
            <w:r>
              <w:rPr>
                <w:rFonts w:hint="eastAsia" w:asciiTheme="minorEastAsia" w:hAnsiTheme="minorEastAsia" w:eastAsiaTheme="minorEastAsia" w:cstheme="minorEastAsia"/>
                <w:b w:val="0"/>
                <w:bCs/>
                <w:color w:val="auto"/>
                <w:sz w:val="21"/>
                <w:szCs w:val="21"/>
              </w:rPr>
              <w:t xml:space="preserve">日 </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主持人：总经理    参加人：领导层、各部门负责人 </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要求每个部门需提交的管理评审输入内容包含了标准条款的要求。时间安排符合程序文件的要求。</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查看管理评审输入的资料：</w:t>
            </w:r>
          </w:p>
          <w:p>
            <w:pPr>
              <w:numPr>
                <w:ilvl w:val="0"/>
                <w:numId w:val="6"/>
              </w:num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公司质量、环境和职业健康安全管理体系运行报告、方针、目标执行情况报告——管理者代表。</w:t>
            </w:r>
          </w:p>
          <w:p>
            <w:pPr>
              <w:numPr>
                <w:ilvl w:val="0"/>
                <w:numId w:val="6"/>
              </w:num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管理手册中所要求的输入具体内容和负责部门：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a  审核结果，包括内部审核和合规性性的结果——综合部；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b  顾客反馈，来自外部相关方的交流信息，包括抱怨——财务部；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c ) 过程的业绩和服务的符合性，组织的环境绩效和职业健康安全绩效——综合部；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d) 目标和指标的实现程度——各部门；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e) 纠正和预防措施的状态——工程部；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f)</w:t>
            </w:r>
            <w:r>
              <w:rPr>
                <w:rFonts w:hint="eastAsia" w:asciiTheme="minorEastAsia" w:hAnsiTheme="minorEastAsia" w:eastAsiaTheme="minorEastAsia" w:cstheme="minorEastAsia"/>
                <w:b w:val="0"/>
                <w:bCs/>
                <w:i/>
                <w:color w:val="auto"/>
                <w:sz w:val="21"/>
                <w:szCs w:val="21"/>
              </w:rPr>
              <w:t xml:space="preserve"> </w:t>
            </w:r>
            <w:r>
              <w:rPr>
                <w:rFonts w:hint="eastAsia" w:asciiTheme="minorEastAsia" w:hAnsiTheme="minorEastAsia" w:eastAsiaTheme="minorEastAsia" w:cstheme="minorEastAsia"/>
                <w:b w:val="0"/>
                <w:bCs/>
                <w:iCs/>
                <w:color w:val="auto"/>
                <w:sz w:val="21"/>
                <w:szCs w:val="21"/>
              </w:rPr>
              <w:t>以往管理评审的跟踪措施或后续措施——管理者代表</w:t>
            </w:r>
            <w:r>
              <w:rPr>
                <w:rFonts w:hint="eastAsia" w:asciiTheme="minorEastAsia" w:hAnsiTheme="minorEastAsia" w:eastAsiaTheme="minorEastAsia" w:cstheme="minorEastAsia"/>
                <w:b w:val="0"/>
                <w:bCs/>
                <w:i/>
                <w:color w:val="auto"/>
                <w:sz w:val="21"/>
                <w:szCs w:val="21"/>
              </w:rPr>
              <w:t>；</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g) 可能影响管理体系的变更——综合部；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h) 客观环境的变化，包括公司环境因素和重大风险源有关的法律法规和其他要求的发展变化</w:t>
            </w:r>
          </w:p>
          <w:p>
            <w:pPr>
              <w:spacing w:line="320" w:lineRule="exact"/>
              <w:ind w:firstLine="525" w:firstLineChars="25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--综合部；</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i) 改进建议——管代。</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3．各部门准备本部门管理体系运行情况汇报。输入内容基本符合标准要求。</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评审结论：公司总目标与指标，部门的目标与指标均基本全部完成，目标指标基本具备有效性。</w:t>
            </w:r>
          </w:p>
          <w:p>
            <w:pPr>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auto"/>
                <w:sz w:val="21"/>
                <w:szCs w:val="21"/>
              </w:rPr>
              <w:t>改进的建议：无。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sz w:val="21"/>
                <w:szCs w:val="21"/>
              </w:rPr>
              <w:t>5.  EMS是否按规定对主要污染物（污水、废气、噪声、废渣等）及排放实施了例行的监视或测量，结果是否满足相关要求？是。 结果满足。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b w:val="0"/>
                <w:bCs/>
                <w:color w:val="000000" w:themeColor="text1"/>
                <w:sz w:val="21"/>
                <w:szCs w:val="21"/>
              </w:rPr>
            </w:pPr>
            <w:r>
              <w:rPr>
                <w:rFonts w:hint="eastAsia" w:asciiTheme="minorEastAsia" w:hAnsiTheme="minorEastAsia" w:eastAsiaTheme="minorEastAsia" w:cstheme="minorEastAsia"/>
                <w:b w:val="0"/>
                <w:bCs/>
                <w:color w:val="000000" w:themeColor="text1"/>
                <w:sz w:val="21"/>
                <w:szCs w:val="21"/>
              </w:rPr>
              <w:t>6.  EMS国家/地方环保部门监测结果、新改扩建项目符合环评报告、三同时验收报告要求情况及措施</w:t>
            </w:r>
          </w:p>
          <w:p>
            <w:pPr>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sz w:val="21"/>
                <w:szCs w:val="21"/>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sz w:val="21"/>
                <w:szCs w:val="21"/>
              </w:rPr>
              <w:t>7. OHSMS是否按规定对职业健康安全项目进行定期测量，结果是否满足相关要求：是，满足。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sz w:val="20"/>
              </w:rPr>
            </w:pPr>
          </w:p>
        </w:tc>
        <w:tc>
          <w:tcPr>
            <w:tcW w:w="9198" w:type="dxa"/>
            <w:vAlign w:val="top"/>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sz w:val="21"/>
                <w:szCs w:val="21"/>
              </w:rPr>
              <w:t>8.OHSMS国家/地方职业健康安全部门监督检查情况及措施：</w:t>
            </w:r>
            <w:r>
              <w:rPr>
                <w:rFonts w:hint="eastAsia" w:asciiTheme="minorEastAsia" w:hAnsiTheme="minorEastAsia" w:eastAsiaTheme="minorEastAsia" w:cstheme="minorEastAsia"/>
                <w:b w:val="0"/>
                <w:bCs/>
                <w:sz w:val="21"/>
                <w:szCs w:val="21"/>
              </w:rPr>
              <w:t>工程部接受上级单位监督检查和甲方监督检查。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sz w:val="21"/>
                <w:szCs w:val="21"/>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1 纠正/预防措施的实施及效果</w:t>
            </w:r>
            <w:r>
              <w:rPr>
                <w:rFonts w:hint="eastAsia" w:asciiTheme="minorEastAsia" w:hAnsiTheme="minorEastAsia" w:eastAsiaTheme="minorEastAsia" w:cstheme="minorEastAsia"/>
                <w:b/>
                <w:color w:val="000000" w:themeColor="text1"/>
                <w:spacing w:val="-8"/>
                <w:sz w:val="21"/>
                <w:szCs w:val="21"/>
              </w:rPr>
              <w:t>;</w:t>
            </w:r>
          </w:p>
          <w:p>
            <w:pPr>
              <w:widowControl/>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见程序文件《管理评审控制程序》、《纠正和预防措施控制程序》、《</w:t>
            </w:r>
            <w:r>
              <w:rPr>
                <w:rFonts w:hint="eastAsia" w:asciiTheme="minorEastAsia" w:hAnsiTheme="minorEastAsia" w:eastAsiaTheme="minorEastAsia" w:cstheme="minorEastAsia"/>
                <w:color w:val="000000"/>
                <w:sz w:val="21"/>
                <w:szCs w:val="21"/>
              </w:rPr>
              <w:t>不合格品控制程序</w:t>
            </w:r>
            <w:r>
              <w:rPr>
                <w:rFonts w:hint="eastAsia" w:asciiTheme="minorEastAsia" w:hAnsiTheme="minorEastAsia" w:eastAsiaTheme="minorEastAsia" w:cstheme="minorEastAsia"/>
                <w:sz w:val="21"/>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公司通过方针、目标的达成分析、内部审核结果、数据资料统计分析、纠正和预防措施和管理评审等方式，以推动环境和职业健康安全管理体系的持续改进。</w:t>
            </w:r>
          </w:p>
          <w:p>
            <w:pPr>
              <w:spacing w:line="24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2（近一年）重大事故、顾客/相关方投诉： </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检查未发现重大事故、顾客/相关方投诉的问题。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 创新情况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val="en-US" w:eastAsia="zh-CN"/>
              </w:rPr>
              <w:t xml:space="preserve">   </w:t>
            </w:r>
            <w:r>
              <w:rPr>
                <w:rFonts w:hint="eastAsia" w:asciiTheme="minorEastAsia" w:hAnsiTheme="minorEastAsia" w:eastAsiaTheme="minorEastAsia" w:cstheme="minorEastAsia"/>
                <w:sz w:val="21"/>
                <w:szCs w:val="21"/>
              </w:rPr>
              <w:t>已经整改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9523" w:type="dxa"/>
            <w:vAlign w:val="center"/>
          </w:tcPr>
          <w:p>
            <w:pPr>
              <w:spacing w:line="280" w:lineRule="exact"/>
              <w:rPr>
                <w:rFonts w:ascii="宋体" w:hAnsi="宋体"/>
                <w:b/>
                <w:szCs w:val="21"/>
              </w:rPr>
            </w:pPr>
            <w:r>
              <w:rPr>
                <w:rFonts w:ascii="宋体" w:hAnsi="宋体"/>
                <w:b/>
                <w:szCs w:val="21"/>
              </w:rPr>
              <w:t>1.</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EMS</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240" w:firstLineChars="100"/>
              <w:rPr>
                <w:rFonts w:ascii="宋体" w:hAnsi="宋体"/>
                <w:b/>
                <w:szCs w:val="21"/>
              </w:rPr>
            </w:pPr>
            <w:r>
              <w:rPr>
                <w:rFonts w:hint="eastAsia" w:asciiTheme="minorEastAsia" w:hAnsiTheme="minorEastAsia" w:eastAsiaTheme="minorEastAsia" w:cstheme="minorEastAsia"/>
                <w:bCs/>
                <w:szCs w:val="21"/>
              </w:rPr>
              <w:t>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asciiTheme="minorEastAsia" w:hAnsiTheme="minorEastAsia" w:eastAsiaTheme="minorEastAsia" w:cstheme="minorEastAsia"/>
                <w:bCs/>
                <w:szCs w:val="21"/>
                <w:lang w:val="en-US" w:eastAsia="zh-CN"/>
              </w:rPr>
              <w:t>保持</w:t>
            </w:r>
            <w:r>
              <w:rPr>
                <w:rFonts w:hint="eastAsia" w:asciiTheme="minorEastAsia" w:hAnsiTheme="minorEastAsia" w:eastAsiaTheme="minorEastAsia" w:cstheme="minorEastAsia"/>
                <w:bCs/>
                <w:szCs w:val="21"/>
              </w:rPr>
              <w:t>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2020年11月23日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w:t>
      </w:r>
      <w:r>
        <w:rPr>
          <w:rFonts w:hint="eastAsia"/>
          <w:b/>
          <w:bCs/>
          <w:sz w:val="21"/>
          <w:szCs w:val="21"/>
          <w:lang w:val="en-US" w:eastAsia="zh-CN"/>
        </w:rPr>
        <w:t>0</w:t>
      </w:r>
      <w:r>
        <w:rPr>
          <w:rFonts w:hint="eastAsia"/>
          <w:b/>
          <w:bCs/>
          <w:sz w:val="21"/>
          <w:szCs w:val="21"/>
        </w:rPr>
        <w:t xml:space="preserve">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bookmarkStart w:id="21" w:name="_GoBack"/>
      <w:bookmarkEnd w:id="21"/>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rFonts w:hint="eastAsia" w:ascii="方正仿宋简体" w:eastAsia="方正仿宋简体"/>
          <w:b/>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rPr>
      </w:pPr>
    </w:p>
    <w:p>
      <w:pPr>
        <w:pStyle w:val="2"/>
        <w:rPr>
          <w:rFonts w:hint="eastAsia" w:ascii="方正仿宋简体" w:eastAsia="方正仿宋简体"/>
          <w:b/>
          <w:lang w:eastAsia="zh-CN"/>
        </w:rPr>
      </w:pPr>
      <w:r>
        <w:rPr>
          <w:rFonts w:hint="eastAsia" w:ascii="方正仿宋简体" w:eastAsia="方正仿宋简体"/>
          <w:b/>
          <w:lang w:eastAsia="zh-CN"/>
        </w:rPr>
        <w:drawing>
          <wp:inline distT="0" distB="0" distL="114300" distR="114300">
            <wp:extent cx="6151880" cy="8202295"/>
            <wp:effectExtent l="0" t="0" r="1270" b="8255"/>
            <wp:docPr id="2" name="图片 2" descr="b074d180e8bb8caab11133d7e894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74d180e8bb8caab11133d7e894ec2"/>
                    <pic:cNvPicPr>
                      <a:picLocks noChangeAspect="1"/>
                    </pic:cNvPicPr>
                  </pic:nvPicPr>
                  <pic:blipFill>
                    <a:blip r:embed="rId6"/>
                    <a:stretch>
                      <a:fillRect/>
                    </a:stretch>
                  </pic:blipFill>
                  <pic:spPr>
                    <a:xfrm>
                      <a:off x="0" y="0"/>
                      <a:ext cx="6151880" cy="8202295"/>
                    </a:xfrm>
                    <a:prstGeom prst="rect">
                      <a:avLst/>
                    </a:prstGeom>
                  </pic:spPr>
                </pic:pic>
              </a:graphicData>
            </a:graphic>
          </wp:inline>
        </w:drawing>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08982"/>
    <w:multiLevelType w:val="singleLevel"/>
    <w:tmpl w:val="B7908982"/>
    <w:lvl w:ilvl="0" w:tentative="0">
      <w:start w:val="6"/>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4AB35F"/>
    <w:multiLevelType w:val="singleLevel"/>
    <w:tmpl w:val="124AB35F"/>
    <w:lvl w:ilvl="0" w:tentative="0">
      <w:start w:val="2"/>
      <w:numFmt w:val="decimal"/>
      <w:suff w:val="nothing"/>
      <w:lvlText w:val="%1、"/>
      <w:lvlJc w:val="left"/>
    </w:lvl>
  </w:abstractNum>
  <w:abstractNum w:abstractNumId="4">
    <w:nsid w:val="377960EA"/>
    <w:multiLevelType w:val="multilevel"/>
    <w:tmpl w:val="377960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BBE846F"/>
    <w:multiLevelType w:val="singleLevel"/>
    <w:tmpl w:val="7BBE846F"/>
    <w:lvl w:ilvl="0" w:tentative="0">
      <w:start w:val="2"/>
      <w:numFmt w:val="decimal"/>
      <w:lvlText w:val="%1."/>
      <w:lvlJc w:val="left"/>
      <w:pPr>
        <w:tabs>
          <w:tab w:val="left" w:pos="312"/>
        </w:tabs>
      </w:p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01A30"/>
    <w:rsid w:val="07467DF3"/>
    <w:rsid w:val="081D71A6"/>
    <w:rsid w:val="09500A3A"/>
    <w:rsid w:val="0A3871B5"/>
    <w:rsid w:val="0B5B73CE"/>
    <w:rsid w:val="0B7B7026"/>
    <w:rsid w:val="0DE94FB7"/>
    <w:rsid w:val="0ECC7FF2"/>
    <w:rsid w:val="0FFF50C8"/>
    <w:rsid w:val="10AF4985"/>
    <w:rsid w:val="11573A9B"/>
    <w:rsid w:val="1167307F"/>
    <w:rsid w:val="180A2FF9"/>
    <w:rsid w:val="180C64E4"/>
    <w:rsid w:val="1C814858"/>
    <w:rsid w:val="21DE1D1A"/>
    <w:rsid w:val="22BD7C2A"/>
    <w:rsid w:val="25124091"/>
    <w:rsid w:val="25D21F36"/>
    <w:rsid w:val="2855317D"/>
    <w:rsid w:val="2A657422"/>
    <w:rsid w:val="2AAC6A8C"/>
    <w:rsid w:val="2B0501A9"/>
    <w:rsid w:val="2CAA72C6"/>
    <w:rsid w:val="2EC440CC"/>
    <w:rsid w:val="32C8261E"/>
    <w:rsid w:val="36A90F6F"/>
    <w:rsid w:val="382F3AE9"/>
    <w:rsid w:val="39D00260"/>
    <w:rsid w:val="3A167391"/>
    <w:rsid w:val="3BB92A80"/>
    <w:rsid w:val="3DBA77AD"/>
    <w:rsid w:val="3F7C3E3D"/>
    <w:rsid w:val="409F697E"/>
    <w:rsid w:val="45E155D9"/>
    <w:rsid w:val="466426AA"/>
    <w:rsid w:val="4B4D1EB2"/>
    <w:rsid w:val="4C4245D0"/>
    <w:rsid w:val="52B01C48"/>
    <w:rsid w:val="545A208B"/>
    <w:rsid w:val="58C33143"/>
    <w:rsid w:val="5B300262"/>
    <w:rsid w:val="5CAC130B"/>
    <w:rsid w:val="5EE76D22"/>
    <w:rsid w:val="609D38E7"/>
    <w:rsid w:val="61E931F1"/>
    <w:rsid w:val="641E76B6"/>
    <w:rsid w:val="65262C13"/>
    <w:rsid w:val="66511E9E"/>
    <w:rsid w:val="693523E5"/>
    <w:rsid w:val="71167563"/>
    <w:rsid w:val="72DF08EF"/>
    <w:rsid w:val="72E70FDD"/>
    <w:rsid w:val="78641A34"/>
    <w:rsid w:val="78FC6500"/>
    <w:rsid w:val="7C687ABB"/>
    <w:rsid w:val="7EDA3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2020-11-23T06:54:34Z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