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42710" cy="9111615"/>
            <wp:effectExtent l="0" t="0" r="8890" b="6985"/>
            <wp:docPr id="3" name="图片 3" descr="26b71276848a67b6bc0388ad1c17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b71276848a67b6bc0388ad1c171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9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347"/>
        <w:gridCol w:w="895"/>
        <w:gridCol w:w="215"/>
        <w:gridCol w:w="550"/>
        <w:gridCol w:w="93"/>
        <w:gridCol w:w="59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河北华泰复合管道有限公司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衡水市胜利东路286号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葛勇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18331829999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周文廷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0080-2018-QEO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Q: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扩项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,E: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扩项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,O: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扩大认证范围：</w:t>
            </w:r>
            <w:r>
              <w:rPr>
                <w:b w:val="0"/>
                <w:bCs w:val="0"/>
                <w:sz w:val="20"/>
              </w:rPr>
              <w:t>塑钢复合管（钢带增强聚乙烯螺旋波纹管）的生产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27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Q：塑钢复合管（PE碳钢复合管、消防管、钢带增强聚乙烯螺旋波纹管）、高压胶管总成的生产，空气源热泵（超低温空气增焓集热器）的组装，PE管、石油配件的销售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E：塑钢复合管（PE碳钢复合管、消防管、钢带增强聚乙烯螺旋波纹管）、高压胶管总成的生产，空气源热泵（超低温空气增焓集热器）的组装，PE管、石油配件的销售所涉及的相关环境管理活动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O：塑钢复合管（PE碳钢复合管、消防管、钢带增强聚乙烯螺旋波纹管）、高压胶管总成的生产，空气源热泵（超低温空气增焓集热器）的组装，PE管、石油配件的销售所涉及的相关职业健康安全管理活动</w:t>
            </w:r>
            <w:bookmarkEnd w:id="9"/>
          </w:p>
        </w:tc>
        <w:tc>
          <w:tcPr>
            <w:tcW w:w="643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Q14.01.02;14.02.01;18.01.03;29.12.00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E14.01.02;14.02.01;18.01.03;29.12.00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O14.01.02;14.02.01;18.01.03;29.12.00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 w:val="0"/>
                <w:bCs w:val="0"/>
                <w:sz w:val="20"/>
              </w:rPr>
              <w:t>2020年11月09日 上午</w:t>
            </w:r>
            <w:bookmarkEnd w:id="15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 w:val="0"/>
                <w:bCs w:val="0"/>
                <w:sz w:val="20"/>
              </w:rPr>
              <w:t>2020年11月09日 上午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 w:val="0"/>
                <w:bCs w:val="0"/>
                <w:sz w:val="20"/>
              </w:rPr>
              <w:t>0.5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234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</w:tc>
        <w:tc>
          <w:tcPr>
            <w:tcW w:w="234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EO</w:t>
            </w:r>
            <w:r>
              <w:rPr>
                <w:b w:val="0"/>
                <w:bCs w:val="0"/>
                <w:sz w:val="20"/>
              </w:rPr>
              <w:t>:14.01.02,14.02.01,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18.01.03,29.12.00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2020-N1QMS-1237307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2020-N1EMS-1237307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2020-N1OHSMS-1237307</w:t>
            </w:r>
          </w:p>
        </w:tc>
        <w:tc>
          <w:tcPr>
            <w:tcW w:w="234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363855</wp:posOffset>
                  </wp:positionV>
                  <wp:extent cx="1063625" cy="51244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78105</wp:posOffset>
                  </wp:positionV>
                  <wp:extent cx="711200" cy="546100"/>
                  <wp:effectExtent l="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2020.11.8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2020.11.8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2020.11.9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；管理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目标和实现计划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资源提供</w:t>
            </w:r>
            <w:r>
              <w:rPr>
                <w:rFonts w:hint="eastAsia"/>
                <w:sz w:val="21"/>
                <w:szCs w:val="21"/>
                <w:lang w:eastAsia="zh-CN"/>
              </w:rPr>
              <w:t>；危险源辨识、风险</w:t>
            </w:r>
            <w:r>
              <w:rPr>
                <w:rFonts w:hint="eastAsia"/>
                <w:sz w:val="21"/>
                <w:szCs w:val="21"/>
              </w:rPr>
              <w:t>评价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合规性评价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/4.2/4.3/4.4/5.2/5.3/6.1/6.2/6.3/7.1/9.1.1/9.3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/4.2/4.3/4.4/5.2/5.3/6.1/6.2/7.1/9.1.1/9.3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/4.3.1/</w:t>
            </w:r>
            <w:r>
              <w:rPr>
                <w:rFonts w:hint="eastAsia"/>
                <w:sz w:val="21"/>
                <w:szCs w:val="21"/>
              </w:rPr>
              <w:t>4.3.3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/4.5.1/4.5.2/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和方案；</w:t>
            </w:r>
            <w:r>
              <w:rPr>
                <w:rFonts w:hint="eastAsia"/>
                <w:sz w:val="21"/>
                <w:szCs w:val="21"/>
              </w:rPr>
              <w:t>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；环境因素、危险源辨识、风险</w:t>
            </w:r>
            <w:r>
              <w:rPr>
                <w:rFonts w:hint="eastAsia"/>
                <w:sz w:val="21"/>
                <w:szCs w:val="21"/>
              </w:rPr>
              <w:t>评价</w:t>
            </w:r>
            <w:r>
              <w:rPr>
                <w:rFonts w:hint="eastAsia"/>
                <w:sz w:val="21"/>
                <w:szCs w:val="21"/>
                <w:lang w:eastAsia="zh-CN"/>
              </w:rPr>
              <w:t>和控制措施的确定；</w:t>
            </w:r>
            <w:r>
              <w:rPr>
                <w:rFonts w:hint="eastAsia"/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4.4.1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3.3/4.3.1/</w:t>
            </w:r>
            <w:r>
              <w:rPr>
                <w:rFonts w:hint="eastAsia"/>
                <w:sz w:val="21"/>
                <w:szCs w:val="21"/>
              </w:rPr>
              <w:t>4.4.6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/4.4.7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生产技术部：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18" w:name="_GoBack"/>
            <w:bookmarkEnd w:id="18"/>
            <w:r>
              <w:rPr>
                <w:rFonts w:hint="eastAsia"/>
                <w:sz w:val="21"/>
                <w:szCs w:val="21"/>
                <w:lang w:eastAsia="zh-CN"/>
              </w:rPr>
              <w:t>环境因素、危险源辨识、风险</w:t>
            </w:r>
            <w:r>
              <w:rPr>
                <w:rFonts w:hint="eastAsia"/>
                <w:sz w:val="21"/>
                <w:szCs w:val="21"/>
              </w:rPr>
              <w:t>评价</w:t>
            </w:r>
            <w:r>
              <w:rPr>
                <w:rFonts w:hint="eastAsia"/>
                <w:sz w:val="21"/>
                <w:szCs w:val="21"/>
                <w:lang w:eastAsia="zh-CN"/>
              </w:rPr>
              <w:t>和控制措施的确定；</w:t>
            </w:r>
            <w:r>
              <w:rPr>
                <w:rFonts w:hint="eastAsia"/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4.4.1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3.3/4.3.1/</w:t>
            </w:r>
            <w:r>
              <w:rPr>
                <w:rFonts w:hint="eastAsia"/>
                <w:sz w:val="21"/>
                <w:szCs w:val="21"/>
              </w:rPr>
              <w:t>4.4.6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/4.4.7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指标管理方案；环境因素/危险源识别评价；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文件化信息；文件总则/管理手册、文件和记录控制；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运行控制；应急准备和响应；合规义务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法律法规要求；绩效的监视和测量；合规性评价；内部审核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Q5.3/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/7.5/</w:t>
            </w:r>
            <w:r>
              <w:rPr>
                <w:rFonts w:hint="eastAsia"/>
                <w:sz w:val="21"/>
                <w:szCs w:val="21"/>
              </w:rPr>
              <w:t>8.1/8.2/9.1/9.2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S4.4.1/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4.3.1/4.3.2/</w:t>
            </w:r>
            <w:r>
              <w:rPr>
                <w:rFonts w:hint="eastAsia"/>
                <w:sz w:val="21"/>
                <w:szCs w:val="21"/>
              </w:rPr>
              <w:t>4.3.3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/4.4.4/4.4.5/</w:t>
            </w:r>
            <w:r>
              <w:rPr>
                <w:rFonts w:hint="eastAsia"/>
                <w:sz w:val="21"/>
                <w:szCs w:val="21"/>
              </w:rPr>
              <w:t>4.4.6/4.4.7/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85EE6"/>
    <w:rsid w:val="2AD00A3D"/>
    <w:rsid w:val="39474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2020-11-10T11:08:47Z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