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大庆汇丰达石油科技开发有限公司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087</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6</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087</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16</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708"/>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大庆汇丰达石油科技开发有限公司</w:t>
            </w:r>
          </w:p>
        </w:tc>
        <w:tc>
          <w:tcPr>
            <w:tcW w:w="170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596"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苏立庆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2977" w:type="dxa"/>
            <w:noWrap w:val="0"/>
            <w:vAlign w:val="top"/>
          </w:tcPr>
          <w:p>
            <w:pPr>
              <w:tabs>
                <w:tab w:val="left" w:pos="880"/>
              </w:tabs>
              <w:autoSpaceDE w:val="0"/>
              <w:autoSpaceDN w:val="0"/>
              <w:adjustRightInd w:val="0"/>
              <w:spacing w:before="35" w:line="276" w:lineRule="auto"/>
              <w:ind w:right="161" w:rightChars="0" w:firstLine="420" w:firstLineChars="20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ISC-2016-0075</w:t>
            </w:r>
          </w:p>
        </w:tc>
        <w:tc>
          <w:tcPr>
            <w:tcW w:w="1708"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2596"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2021.12.23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2977"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cs="宋体"/>
                <w:kern w:val="0"/>
                <w:szCs w:val="21"/>
              </w:rPr>
              <w:t>第</w:t>
            </w:r>
            <w:r>
              <w:rPr>
                <w:rFonts w:hint="eastAsia" w:ascii="宋体" w:cs="宋体"/>
                <w:kern w:val="0"/>
                <w:szCs w:val="21"/>
                <w:lang w:eastAsia="zh-CN"/>
              </w:rPr>
              <w:t>四</w:t>
            </w:r>
            <w:r>
              <w:rPr>
                <w:rFonts w:hint="eastAsia" w:ascii="宋体" w:cs="宋体"/>
                <w:kern w:val="0"/>
                <w:szCs w:val="21"/>
              </w:rPr>
              <w:t>次</w:t>
            </w:r>
          </w:p>
        </w:tc>
        <w:tc>
          <w:tcPr>
            <w:tcW w:w="170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596" w:type="dxa"/>
            <w:noWrap w:val="0"/>
            <w:vAlign w:val="center"/>
          </w:tcPr>
          <w:p>
            <w:pPr>
              <w:tabs>
                <w:tab w:val="left" w:pos="880"/>
              </w:tabs>
              <w:autoSpaceDE w:val="0"/>
              <w:autoSpaceDN w:val="0"/>
              <w:adjustRightInd w:val="0"/>
              <w:spacing w:before="35" w:line="360" w:lineRule="auto"/>
              <w:ind w:right="161"/>
              <w:jc w:val="both"/>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2020.11.19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p>
            <w:pPr>
              <w:tabs>
                <w:tab w:val="left" w:pos="880"/>
              </w:tabs>
              <w:autoSpaceDE w:val="0"/>
              <w:autoSpaceDN w:val="0"/>
              <w:adjustRightInd w:val="0"/>
              <w:spacing w:before="35" w:line="276" w:lineRule="auto"/>
              <w:ind w:right="161"/>
              <w:jc w:val="both"/>
              <w:rPr>
                <w:rFonts w:hint="default" w:ascii="宋体" w:hAnsi="宋体" w:eastAsia="宋体"/>
                <w:sz w:val="21"/>
                <w:szCs w:val="21"/>
                <w:lang w:val="en-US" w:eastAsia="zh-CN"/>
              </w:rPr>
            </w:pPr>
          </w:p>
        </w:tc>
        <w:tc>
          <w:tcPr>
            <w:tcW w:w="170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596"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ascii="宋体" w:hAnsi="宋体" w:eastAsia="宋体" w:cs="宋体"/>
                <w:kern w:val="0"/>
                <w:sz w:val="21"/>
                <w:szCs w:val="21"/>
                <w:highlight w:val="none"/>
                <w:shd w:val="clear" w:color="auto" w:fill="auto"/>
                <w:lang w:val="en-US" w:eastAsia="zh-CN"/>
              </w:rPr>
              <w:t>质量部、生产部（生产车间）、供销部、技术部、办公室</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大庆汇丰达石油科技开发有限公司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大庆汇丰达石油科技开发有限公司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9月22</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李弘博</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25</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10</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12</w:t>
      </w:r>
      <w:bookmarkStart w:id="4" w:name="_GoBack"/>
      <w:bookmarkEnd w:id="4"/>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李弘博</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w:t>
      </w:r>
      <w:r>
        <w:rPr>
          <w:rFonts w:hint="eastAsia" w:ascii="Times New Roman" w:hAnsi="Times New Roman" w:cs="Times New Roman"/>
          <w:bCs/>
          <w:kern w:val="0"/>
          <w:szCs w:val="21"/>
          <w:lang w:eastAsia="zh-CN"/>
        </w:rPr>
        <w:t>主要产品：</w:t>
      </w:r>
      <w:r>
        <w:rPr>
          <w:rFonts w:hint="eastAsia" w:ascii="宋体" w:hAnsi="宋体"/>
          <w:szCs w:val="21"/>
        </w:rPr>
        <w:t>石油钻采设备及零配件的生产；石油钻采专用设备及配件：管道连接器、管道修补器、金属结构件、井口装置和采油树、混合器、过滤器、调节堰、滤油机、井下工具、水处理设备及配件；软化水装置及配件的机械加工；井口装置及采油树的设计。粉尘处理设备、除尘设备生产（有行政许可要求的，按行政许可范围）等</w:t>
      </w:r>
      <w:r>
        <w:rPr>
          <w:rFonts w:hint="eastAsia" w:ascii="宋体" w:hAnsi="宋体"/>
          <w:szCs w:val="21"/>
          <w:lang w:eastAsia="zh-CN"/>
        </w:rPr>
        <w:t>。质量部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bCs/>
          <w:szCs w:val="21"/>
          <w:lang w:val="en-US" w:eastAsia="zh-CN"/>
        </w:rPr>
        <w:t>除尘器法兰内径尺寸测量测量</w:t>
      </w:r>
      <w:r>
        <w:rPr>
          <w:rFonts w:hint="eastAsia" w:ascii="宋体" w:hAnsi="宋体" w:cs="宋体"/>
          <w:kern w:val="0"/>
          <w:szCs w:val="21"/>
          <w:shd w:val="clear" w:color="auto" w:fill="auto"/>
          <w:lang w:val="en-US" w:eastAsia="zh-CN"/>
        </w:rPr>
        <w:t>控制等5个高度测量过程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14</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bCs/>
          <w:szCs w:val="21"/>
          <w:lang w:val="en-US" w:eastAsia="zh-CN"/>
        </w:rPr>
        <w:t>除尘器吊环内径尺寸</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w:t>
      </w:r>
      <w:r>
        <w:rPr>
          <w:rFonts w:ascii="Times New Roman" w:hAnsi="Times New Roman" w:cs="Times New Roman"/>
          <w:bCs/>
          <w:kern w:val="0"/>
          <w:szCs w:val="21"/>
        </w:rPr>
        <w:t>《</w:t>
      </w:r>
      <w:r>
        <w:rPr>
          <w:rFonts w:hint="eastAsia" w:ascii="宋体" w:hAnsi="宋体"/>
          <w:bCs/>
          <w:szCs w:val="21"/>
          <w:lang w:val="en-US" w:eastAsia="zh-CN"/>
        </w:rPr>
        <w:t>除尘器法兰内径尺寸</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bCs/>
          <w:szCs w:val="21"/>
          <w:lang w:val="en-US" w:eastAsia="zh-CN"/>
        </w:rPr>
        <w:t>除尘器法兰内径尺寸</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bCs/>
          <w:szCs w:val="21"/>
          <w:lang w:val="en-US" w:eastAsia="zh-CN"/>
        </w:rPr>
        <w:t>除尘器法兰内径尺寸</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认证</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监督</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宋体" w:hAnsi="宋体"/>
          <w:color w:val="auto"/>
          <w:szCs w:val="21"/>
          <w:lang w:val="en-US" w:eastAsia="zh-CN"/>
        </w:rPr>
        <w:t>外部客户满意度调查记录：企业未提供外部客户满意度调查记录</w:t>
      </w:r>
      <w:r>
        <w:rPr>
          <w:rFonts w:hint="eastAsia" w:ascii="宋体" w:hAnsi="宋体"/>
          <w:color w:val="auto"/>
          <w:szCs w:val="21"/>
          <w:highlight w:val="none"/>
          <w:lang w:val="en-US" w:eastAsia="zh-CN"/>
        </w:rPr>
        <w:t>。</w:t>
      </w:r>
      <w:r>
        <w:rPr>
          <w:rFonts w:hint="eastAsia"/>
          <w:szCs w:val="21"/>
          <w:lang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上次监督审核后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企业营业执照变更（2020.11.06）、认证产品、组织机构等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color w:val="auto"/>
          <w:kern w:val="0"/>
          <w:sz w:val="21"/>
          <w:szCs w:val="21"/>
          <w:highlight w:val="none"/>
          <w:lang w:val="en-US" w:eastAsia="zh-CN"/>
        </w:rPr>
        <w:t>10.1</w:t>
      </w:r>
      <w:r>
        <w:rPr>
          <w:rFonts w:hint="eastAsia" w:ascii="宋体" w:hAnsi="宋体" w:cs="宋体"/>
          <w:kern w:val="0"/>
          <w:szCs w:val="21"/>
          <w:lang w:eastAsia="zh-CN"/>
        </w:rPr>
        <w:t>技术部</w:t>
      </w:r>
      <w:r>
        <w:rPr>
          <w:rFonts w:hint="eastAsia" w:ascii="宋体" w:hAnsi="宋体" w:eastAsia="宋体" w:cs="宋体"/>
          <w:b w:val="0"/>
          <w:bCs/>
          <w:kern w:val="0"/>
          <w:sz w:val="21"/>
          <w:szCs w:val="21"/>
          <w:lang w:val="en-US" w:eastAsia="zh-CN"/>
        </w:rPr>
        <w:t>提供的</w:t>
      </w:r>
      <w:r>
        <w:rPr>
          <w:rFonts w:hint="eastAsia" w:ascii="宋体" w:hAnsi="宋体" w:cs="宋体"/>
          <w:b w:val="0"/>
          <w:bCs/>
          <w:kern w:val="0"/>
          <w:sz w:val="21"/>
          <w:szCs w:val="21"/>
          <w:lang w:val="en-US" w:eastAsia="zh-CN"/>
        </w:rPr>
        <w:t>高压放空阀总装图</w:t>
      </w:r>
      <w:r>
        <w:rPr>
          <w:rFonts w:hint="eastAsia" w:cs="宋体"/>
          <w:b w:val="0"/>
          <w:bCs/>
          <w:kern w:val="0"/>
          <w:sz w:val="21"/>
          <w:szCs w:val="21"/>
          <w:lang w:val="en-US" w:eastAsia="zh-CN"/>
        </w:rPr>
        <w:t>：图号：VFK-8/32-01-00其中六角螺母检验依据的标准GB/T6170-2000《1型六角螺母》</w:t>
      </w:r>
      <w:r>
        <w:rPr>
          <w:rFonts w:hint="eastAsia" w:ascii="宋体" w:hAnsi="宋体" w:cs="宋体"/>
          <w:kern w:val="0"/>
          <w:szCs w:val="21"/>
          <w:lang w:eastAsia="zh-CN"/>
        </w:rPr>
        <w:t>。已作废。</w:t>
      </w:r>
      <w:r>
        <w:rPr>
          <w:rFonts w:hint="eastAsia" w:ascii="宋体" w:hAnsi="宋体" w:cs="宋体"/>
          <w:kern w:val="0"/>
          <w:szCs w:val="21"/>
        </w:rPr>
        <w:t>不符合GB/T19022-2003标准中 6.2.1条款“制定新的程序或更改现有的程序应经授权批准并受控。程序应现行有效，需要时可获得和提供。”的规定要求</w:t>
      </w:r>
      <w:r>
        <w:rPr>
          <w:rFonts w:hint="eastAsia" w:ascii="宋体" w:hAnsi="宋体" w:cs="宋体"/>
          <w:kern w:val="0"/>
          <w:szCs w:val="21"/>
          <w:lang w:eastAsia="zh-CN"/>
        </w:rPr>
        <w:t>。</w:t>
      </w:r>
    </w:p>
    <w:p>
      <w:pPr>
        <w:spacing w:line="360" w:lineRule="auto"/>
        <w:ind w:firstLine="480"/>
        <w:rPr>
          <w:rFonts w:hint="default" w:ascii="宋体" w:hAnsi="宋体" w:cs="宋体"/>
          <w:bCs/>
          <w:color w:val="auto"/>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大庆汇丰达石油科技开发有限公司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2019年11月至2020年10月</w:t>
      </w:r>
      <w:r>
        <w:rPr>
          <w:rFonts w:hint="eastAsia" w:ascii="宋体" w:hAnsi="宋体" w:cs="宋体"/>
          <w:bCs/>
          <w:kern w:val="0"/>
          <w:szCs w:val="21"/>
        </w:rPr>
        <w:t>耗能为</w:t>
      </w:r>
      <w:r>
        <w:rPr>
          <w:rFonts w:hint="eastAsia" w:ascii="宋体" w:hAnsi="宋体" w:cs="宋体"/>
          <w:bCs/>
          <w:kern w:val="0"/>
          <w:szCs w:val="21"/>
          <w:lang w:val="en-US" w:eastAsia="zh-CN"/>
        </w:rPr>
        <w:t>11.2</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19</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大庆汇丰达石油科技开发有限公司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大庆汇丰达石油科技开发有限公司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ind w:firstLine="211" w:firstLineChars="100"/>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2020.11.19</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211992"/>
    <w:rsid w:val="01785DCC"/>
    <w:rsid w:val="02B05F36"/>
    <w:rsid w:val="02B06A5F"/>
    <w:rsid w:val="04323248"/>
    <w:rsid w:val="057231CB"/>
    <w:rsid w:val="060A2C1F"/>
    <w:rsid w:val="06224E0B"/>
    <w:rsid w:val="06255583"/>
    <w:rsid w:val="069E5AB7"/>
    <w:rsid w:val="07CB0C61"/>
    <w:rsid w:val="08DD17BB"/>
    <w:rsid w:val="0AAC43F2"/>
    <w:rsid w:val="0B6A287A"/>
    <w:rsid w:val="0B9C159A"/>
    <w:rsid w:val="0C4A062D"/>
    <w:rsid w:val="0CD419F2"/>
    <w:rsid w:val="0CF4221B"/>
    <w:rsid w:val="0D335818"/>
    <w:rsid w:val="0DEE2089"/>
    <w:rsid w:val="0DFC7968"/>
    <w:rsid w:val="0E553E18"/>
    <w:rsid w:val="0E8A307E"/>
    <w:rsid w:val="0EA86466"/>
    <w:rsid w:val="10514274"/>
    <w:rsid w:val="106725C6"/>
    <w:rsid w:val="10CC502F"/>
    <w:rsid w:val="10F52E13"/>
    <w:rsid w:val="110C45FB"/>
    <w:rsid w:val="114A28C9"/>
    <w:rsid w:val="11550A66"/>
    <w:rsid w:val="1193589A"/>
    <w:rsid w:val="12114279"/>
    <w:rsid w:val="12452EC7"/>
    <w:rsid w:val="13B07256"/>
    <w:rsid w:val="147A5742"/>
    <w:rsid w:val="14AF6172"/>
    <w:rsid w:val="14C22162"/>
    <w:rsid w:val="14D86AE0"/>
    <w:rsid w:val="15217ADC"/>
    <w:rsid w:val="15501560"/>
    <w:rsid w:val="158D185E"/>
    <w:rsid w:val="17E86A55"/>
    <w:rsid w:val="17F03BD5"/>
    <w:rsid w:val="18491313"/>
    <w:rsid w:val="191875B9"/>
    <w:rsid w:val="1A9066D8"/>
    <w:rsid w:val="1ACB2E07"/>
    <w:rsid w:val="1B120764"/>
    <w:rsid w:val="1B6E0BCC"/>
    <w:rsid w:val="1D666DD5"/>
    <w:rsid w:val="1DB528F4"/>
    <w:rsid w:val="1DF611A6"/>
    <w:rsid w:val="1E8D2076"/>
    <w:rsid w:val="1F96490F"/>
    <w:rsid w:val="1FD87C5A"/>
    <w:rsid w:val="202E5BEC"/>
    <w:rsid w:val="205A621D"/>
    <w:rsid w:val="214C10C3"/>
    <w:rsid w:val="221F4A52"/>
    <w:rsid w:val="22D6310F"/>
    <w:rsid w:val="234C1DE6"/>
    <w:rsid w:val="236837F1"/>
    <w:rsid w:val="23CD5065"/>
    <w:rsid w:val="25827AE2"/>
    <w:rsid w:val="259D4245"/>
    <w:rsid w:val="26D61E0E"/>
    <w:rsid w:val="27E10AA0"/>
    <w:rsid w:val="2846554F"/>
    <w:rsid w:val="28F16BE3"/>
    <w:rsid w:val="290D70F9"/>
    <w:rsid w:val="294A7B5F"/>
    <w:rsid w:val="29EC5CDB"/>
    <w:rsid w:val="2CAB432C"/>
    <w:rsid w:val="2CE24CD7"/>
    <w:rsid w:val="2DD74E91"/>
    <w:rsid w:val="2DF9155B"/>
    <w:rsid w:val="2E000AD3"/>
    <w:rsid w:val="2E92798F"/>
    <w:rsid w:val="2E94229B"/>
    <w:rsid w:val="2EE23BD1"/>
    <w:rsid w:val="2F915445"/>
    <w:rsid w:val="30DE05E1"/>
    <w:rsid w:val="33573808"/>
    <w:rsid w:val="33947CD2"/>
    <w:rsid w:val="347F6559"/>
    <w:rsid w:val="34D4260D"/>
    <w:rsid w:val="352330CF"/>
    <w:rsid w:val="367709AC"/>
    <w:rsid w:val="36823C9C"/>
    <w:rsid w:val="37596989"/>
    <w:rsid w:val="37C53059"/>
    <w:rsid w:val="38505CE2"/>
    <w:rsid w:val="38E460E2"/>
    <w:rsid w:val="39150662"/>
    <w:rsid w:val="39364992"/>
    <w:rsid w:val="39C13B67"/>
    <w:rsid w:val="3A8F40F6"/>
    <w:rsid w:val="3B6C0871"/>
    <w:rsid w:val="3D8C65CA"/>
    <w:rsid w:val="3FCA0710"/>
    <w:rsid w:val="3FD079A4"/>
    <w:rsid w:val="410611B0"/>
    <w:rsid w:val="4119198D"/>
    <w:rsid w:val="415E78AA"/>
    <w:rsid w:val="42020F0F"/>
    <w:rsid w:val="42C727C5"/>
    <w:rsid w:val="42F654CE"/>
    <w:rsid w:val="43584738"/>
    <w:rsid w:val="459704CD"/>
    <w:rsid w:val="46425F4D"/>
    <w:rsid w:val="46D74133"/>
    <w:rsid w:val="46FF1A20"/>
    <w:rsid w:val="478068A7"/>
    <w:rsid w:val="49B409BF"/>
    <w:rsid w:val="4B646F95"/>
    <w:rsid w:val="4BCF07F3"/>
    <w:rsid w:val="4CD650EE"/>
    <w:rsid w:val="4CDC1C1E"/>
    <w:rsid w:val="4D3B07E4"/>
    <w:rsid w:val="4DF83EDC"/>
    <w:rsid w:val="4E2C127C"/>
    <w:rsid w:val="4F4C158E"/>
    <w:rsid w:val="4F966158"/>
    <w:rsid w:val="508A3BF7"/>
    <w:rsid w:val="50975894"/>
    <w:rsid w:val="50AB3606"/>
    <w:rsid w:val="52450263"/>
    <w:rsid w:val="52CF4CBD"/>
    <w:rsid w:val="53DE4404"/>
    <w:rsid w:val="546D7FA6"/>
    <w:rsid w:val="55C948E7"/>
    <w:rsid w:val="560936BF"/>
    <w:rsid w:val="562B67C6"/>
    <w:rsid w:val="56BD4064"/>
    <w:rsid w:val="57B34F29"/>
    <w:rsid w:val="584066CD"/>
    <w:rsid w:val="58D722A1"/>
    <w:rsid w:val="59EE788F"/>
    <w:rsid w:val="5A335F8D"/>
    <w:rsid w:val="5A4E23BB"/>
    <w:rsid w:val="5AEA42C2"/>
    <w:rsid w:val="5B655F9E"/>
    <w:rsid w:val="5C132391"/>
    <w:rsid w:val="5D595F20"/>
    <w:rsid w:val="5D954B61"/>
    <w:rsid w:val="5DA46180"/>
    <w:rsid w:val="60C64E46"/>
    <w:rsid w:val="62BA3AD0"/>
    <w:rsid w:val="63C16F8E"/>
    <w:rsid w:val="63E11222"/>
    <w:rsid w:val="63FC6CAF"/>
    <w:rsid w:val="653A5005"/>
    <w:rsid w:val="654B5DFD"/>
    <w:rsid w:val="65A40DA8"/>
    <w:rsid w:val="65C01B44"/>
    <w:rsid w:val="66DC4CAC"/>
    <w:rsid w:val="6B9A7111"/>
    <w:rsid w:val="6C7A172C"/>
    <w:rsid w:val="6CC32C31"/>
    <w:rsid w:val="6E194890"/>
    <w:rsid w:val="6F264392"/>
    <w:rsid w:val="6F2A687E"/>
    <w:rsid w:val="6F925BC6"/>
    <w:rsid w:val="6FB17D99"/>
    <w:rsid w:val="6FCF21C7"/>
    <w:rsid w:val="701E08DD"/>
    <w:rsid w:val="729F40AE"/>
    <w:rsid w:val="73877C76"/>
    <w:rsid w:val="738E408B"/>
    <w:rsid w:val="7405196C"/>
    <w:rsid w:val="74062830"/>
    <w:rsid w:val="74243E8A"/>
    <w:rsid w:val="7567525C"/>
    <w:rsid w:val="75E04B0D"/>
    <w:rsid w:val="76466521"/>
    <w:rsid w:val="77555FF3"/>
    <w:rsid w:val="77B771D7"/>
    <w:rsid w:val="784E5A3C"/>
    <w:rsid w:val="788E567B"/>
    <w:rsid w:val="7930537A"/>
    <w:rsid w:val="7AE25BD9"/>
    <w:rsid w:val="7CB55D5F"/>
    <w:rsid w:val="7EA333B8"/>
    <w:rsid w:val="7EEE16D3"/>
    <w:rsid w:val="7FE37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1</TotalTime>
  <ScaleCrop>false</ScaleCrop>
  <LinksUpToDate>false</LinksUpToDate>
  <CharactersWithSpaces>3072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2020-11-19T07:12:07Z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