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89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φ135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φ135mm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=0.03mm;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i w:val="0"/>
                <w:iCs w:val="0"/>
                <w:lang w:val="en-US" w:eastAsia="zh-CN"/>
              </w:rPr>
              <w:t>=0.01mm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；k=2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hint="eastAsia" w:ascii="Times New Roman" w:hAnsi="Times New Roman"/>
                <w:highlight w:val="none"/>
                <w:lang w:eastAsia="zh-CN"/>
              </w:rPr>
              <w:t>王英军</w:t>
            </w:r>
            <w:bookmarkEnd w:id="0"/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15CD7"/>
    <w:rsid w:val="0B5C2AE8"/>
    <w:rsid w:val="1E4410A6"/>
    <w:rsid w:val="2D0C4EEF"/>
    <w:rsid w:val="55AE0338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8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2020-11-20T02:52:08Z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