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O:监查2,E:监查2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四川鹤达石油化工工程有限公司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不能提供</w:t>
            </w:r>
            <w:r>
              <w:rPr>
                <w:rFonts w:hint="eastAsia" w:ascii="宋体" w:hAnsi="宋体"/>
                <w:b/>
                <w:bCs/>
                <w:szCs w:val="21"/>
              </w:rPr>
              <w:t>合规性评价的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报告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9.1.2条款：组织应保留文件化信息，作为合规性评价结果的证据和ISO45001：2018标准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9.1.2条款：d） 保留合规性评价结果的文件化信息。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3035300</wp:posOffset>
                  </wp:positionH>
                  <wp:positionV relativeFrom="paragraph">
                    <wp:posOffset>156210</wp:posOffset>
                  </wp:positionV>
                  <wp:extent cx="323850" cy="335280"/>
                  <wp:effectExtent l="0" t="0" r="6350" b="762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29210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3797300</wp:posOffset>
                  </wp:positionH>
                  <wp:positionV relativeFrom="paragraph">
                    <wp:posOffset>66040</wp:posOffset>
                  </wp:positionV>
                  <wp:extent cx="323850" cy="335280"/>
                  <wp:effectExtent l="0" t="0" r="6350" b="7620"/>
                  <wp:wrapNone/>
                  <wp:docPr id="3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bookmarkStart w:id="7" w:name="_GoBack"/>
      <w:bookmarkEnd w:id="7"/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C2DB1"/>
    <w:rsid w:val="21236D9F"/>
    <w:rsid w:val="473E17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2021-06-24T07:27:51Z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9FB7A753D1604C24B36DDEBE276AF2A7</vt:lpwstr>
  </property>
</Properties>
</file>