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受审核方：四川鹤达石油化工工程有限公司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2019-N1OHSMS-2093566</w:t>
            </w:r>
          </w:p>
          <w:p>
            <w:pPr>
              <w:jc w:val="center"/>
              <w:rPr>
                <w:b/>
                <w:sz w:val="21"/>
                <w:szCs w:val="21"/>
              </w:rPr>
            </w:pPr>
            <w:r>
              <w:rPr>
                <w:b/>
                <w:sz w:val="21"/>
                <w:szCs w:val="21"/>
              </w:rPr>
              <w:t>2021-N1EMS-3093566</w:t>
            </w:r>
          </w:p>
        </w:tc>
        <w:tc>
          <w:tcPr>
            <w:tcW w:w="1728" w:type="dxa"/>
            <w:gridSpan w:val="2"/>
            <w:vAlign w:val="center"/>
          </w:tcPr>
          <w:p>
            <w:pPr>
              <w:jc w:val="center"/>
              <w:rPr>
                <w:b/>
                <w:sz w:val="21"/>
                <w:szCs w:val="21"/>
              </w:rPr>
            </w:pPr>
            <w:r>
              <w:rPr>
                <w:b/>
                <w:sz w:val="21"/>
                <w:szCs w:val="21"/>
              </w:rPr>
              <w:t>O:28.07.03,29.10.07,34.05.00,35.04.02</w:t>
            </w:r>
          </w:p>
          <w:p>
            <w:pPr>
              <w:jc w:val="center"/>
              <w:rPr>
                <w:b/>
                <w:sz w:val="21"/>
                <w:szCs w:val="21"/>
              </w:rPr>
            </w:pPr>
            <w:r>
              <w:rPr>
                <w:b/>
                <w:sz w:val="21"/>
                <w:szCs w:val="21"/>
              </w:rPr>
              <w:t>E:28.07.03,29.10.07,34.05.00,35.04.02</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O:专家</w:t>
            </w:r>
          </w:p>
          <w:p>
            <w:pPr>
              <w:jc w:val="center"/>
              <w:rPr>
                <w:b/>
                <w:sz w:val="21"/>
                <w:szCs w:val="21"/>
              </w:rPr>
            </w:pPr>
            <w:r>
              <w:rPr>
                <w:b/>
                <w:sz w:val="21"/>
                <w:szCs w:val="21"/>
              </w:rPr>
              <w:t>E:审核员</w:t>
            </w:r>
          </w:p>
          <w:p>
            <w:pPr>
              <w:jc w:val="center"/>
              <w:rPr>
                <w:b/>
                <w:sz w:val="21"/>
                <w:szCs w:val="21"/>
              </w:rPr>
            </w:pPr>
          </w:p>
        </w:tc>
        <w:tc>
          <w:tcPr>
            <w:tcW w:w="1699" w:type="dxa"/>
            <w:vAlign w:val="center"/>
          </w:tcPr>
          <w:p>
            <w:pPr>
              <w:jc w:val="center"/>
              <w:rPr>
                <w:b/>
                <w:sz w:val="21"/>
                <w:szCs w:val="21"/>
              </w:rPr>
            </w:pPr>
            <w:r>
              <w:rPr>
                <w:b/>
                <w:sz w:val="21"/>
                <w:szCs w:val="21"/>
              </w:rPr>
              <w:t>2019-N1EMS-1247783</w:t>
            </w:r>
          </w:p>
          <w:p>
            <w:pPr>
              <w:jc w:val="center"/>
              <w:rPr>
                <w:b/>
                <w:sz w:val="21"/>
                <w:szCs w:val="21"/>
              </w:rPr>
            </w:pPr>
            <w:r>
              <w:rPr>
                <w:b/>
                <w:sz w:val="21"/>
                <w:szCs w:val="21"/>
              </w:rPr>
              <w:t>酒泉钢铁集团公司</w:t>
            </w:r>
          </w:p>
        </w:tc>
        <w:tc>
          <w:tcPr>
            <w:tcW w:w="1728" w:type="dxa"/>
            <w:gridSpan w:val="2"/>
            <w:vAlign w:val="center"/>
          </w:tcPr>
          <w:p>
            <w:pPr>
              <w:jc w:val="center"/>
              <w:rPr>
                <w:b/>
                <w:sz w:val="21"/>
                <w:szCs w:val="21"/>
              </w:rPr>
            </w:pPr>
            <w:r>
              <w:rPr>
                <w:b/>
                <w:sz w:val="21"/>
                <w:szCs w:val="21"/>
              </w:rPr>
              <w:t>E:29.10.07,34.05.00,35.04.02</w:t>
            </w: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2020-N1EMS-1262293</w:t>
            </w:r>
          </w:p>
        </w:tc>
        <w:tc>
          <w:tcPr>
            <w:tcW w:w="1728" w:type="dxa"/>
            <w:gridSpan w:val="2"/>
            <w:vAlign w:val="center"/>
          </w:tcPr>
          <w:p>
            <w:pPr>
              <w:jc w:val="center"/>
              <w:rPr>
                <w:b/>
                <w:sz w:val="21"/>
                <w:szCs w:val="21"/>
              </w:rPr>
            </w:pPr>
            <w:r>
              <w:rPr>
                <w:b/>
                <w:sz w:val="21"/>
                <w:szCs w:val="21"/>
              </w:rPr>
              <w:t>E:34.05.00</w:t>
            </w: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陈伟</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2021-N1EMS-1265256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四川鹤达石油化工工程有限公司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成都市青羊区敬业路218号20栋4楼</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600000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生产地址"/>
            <w:r>
              <w:rPr>
                <w:rFonts w:ascii="宋体"/>
                <w:b/>
                <w:sz w:val="21"/>
              </w:rPr>
              <w:t>成都市青羊区敬业路218号20栋4楼</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600000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成都市青羊区敬业路218号20栋4楼</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600000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罗丽</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028-61986281</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吴国昌</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罗丽</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2021年06月24日 上午至2021年06月24日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：资质范围内的石油化工工程总承包；工程管理服务；化工专用设备（需资质许可除外）设计、销售及相关环境管理活动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：资质范围内的石油化工工程总承包；工程管理服务；化工专用设备（需资质许可除外）设计、销售及相关职业健康安全管理活动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O：28.07.03;29.10.07;34.05.00;35.04.02</w:t>
            </w:r>
          </w:p>
          <w:p>
            <w:pPr>
              <w:spacing w:line="260" w:lineRule="exact"/>
              <w:rPr>
                <w:rFonts w:ascii="宋体" w:hAnsi="宋体"/>
                <w:b/>
                <w:sz w:val="21"/>
                <w:szCs w:val="21"/>
              </w:rPr>
            </w:pPr>
            <w:r>
              <w:rPr>
                <w:rFonts w:ascii="宋体" w:hAnsi="宋体"/>
                <w:b/>
                <w:sz w:val="21"/>
                <w:szCs w:val="21"/>
              </w:rPr>
              <w:t>E：28.07.03;29.10.07;34.05.00;35.04.02</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宋体" w:hAnsi="宋体"/>
                <w:b/>
                <w:sz w:val="21"/>
                <w:szCs w:val="21"/>
              </w:rPr>
              <w:t>2022.7.15</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default" w:ascii="宋体" w:eastAsia="宋体"/>
                <w:b/>
                <w:sz w:val="21"/>
                <w:lang w:val="en-US" w:eastAsia="zh-CN"/>
              </w:rPr>
              <w:t>2020年09月19日至2020年09月20日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20</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val="en-US" w:eastAsia="zh-CN"/>
              </w:rPr>
              <w:t xml:space="preserve">  </w:t>
            </w:r>
          </w:p>
          <w:p>
            <w:pPr>
              <w:spacing w:line="240" w:lineRule="exact"/>
              <w:rPr>
                <w:rFonts w:hint="default" w:ascii="宋体" w:hAnsi="宋体" w:eastAsia="宋体"/>
                <w:b/>
                <w:sz w:val="21"/>
                <w:szCs w:val="21"/>
                <w:lang w:val="en-US" w:eastAsia="zh-CN"/>
              </w:rPr>
            </w:pPr>
            <w:r>
              <w:rPr>
                <w:rFonts w:hint="eastAsia" w:ascii="宋体" w:hAnsi="宋体"/>
                <w:color w:val="000000" w:themeColor="text1"/>
                <w:sz w:val="20"/>
              </w:rPr>
              <w:t>组织对内外部因素、相关方需求和期望进行了充分的识别，策划和实施有效。组织确定了体系的边界，基本适用。管理体系全条款适用</w:t>
            </w:r>
            <w:r>
              <w:rPr>
                <w:rFonts w:hint="eastAsia" w:ascii="华文楷体" w:hAnsi="华文楷体" w:eastAsia="华文楷体"/>
                <w:bCs/>
                <w:i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hint="eastAsia"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cs="宋体"/>
                <w:color w:val="000000"/>
                <w:sz w:val="20"/>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80" w:lineRule="exact"/>
              <w:rPr>
                <w:rFonts w:ascii="宋体" w:hAnsi="宋体"/>
                <w:b/>
                <w:sz w:val="21"/>
                <w:szCs w:val="21"/>
              </w:rPr>
            </w:pPr>
            <w:r>
              <w:rPr>
                <w:rFonts w:hint="eastAsia" w:ascii="宋体" w:hAnsi="宋体"/>
                <w:color w:val="000000" w:themeColor="text1"/>
                <w:sz w:val="20"/>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sz w:val="20"/>
              </w:rPr>
              <w:t>“</w:t>
            </w:r>
            <w:r>
              <w:rPr>
                <w:rFonts w:hint="eastAsia" w:ascii="宋体" w:hAnsi="宋体" w:cs="宋体"/>
                <w:sz w:val="20"/>
              </w:rPr>
              <w:t>保障安全  预防污染  遵守法规  持续改进</w:t>
            </w:r>
            <w:r>
              <w:rPr>
                <w:rFonts w:hint="eastAsia" w:ascii="宋体" w:hAnsi="宋体" w:cs="宋体"/>
                <w:b/>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lang w:val="en-US" w:eastAsia="zh-CN"/>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val="en-US" w:eastAsia="zh-CN"/>
              </w:rPr>
              <w:t xml:space="preserve"> </w:t>
            </w:r>
          </w:p>
          <w:p>
            <w:pPr>
              <w:spacing w:line="280" w:lineRule="exact"/>
              <w:rPr>
                <w:rFonts w:hint="eastAsia" w:ascii="宋体" w:hAnsi="宋体" w:eastAsia="宋体"/>
                <w:b/>
                <w:sz w:val="21"/>
                <w:szCs w:val="21"/>
                <w:lang w:val="en-US" w:eastAsia="zh-CN"/>
              </w:rPr>
            </w:pPr>
            <w:r>
              <w:rPr>
                <w:rFonts w:hint="eastAsia" w:ascii="宋体" w:hAnsi="宋体"/>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Theme="minorEastAsia" w:hAnsiTheme="minorEastAsia" w:eastAsiaTheme="minorEastAsia"/>
                <w:bCs/>
                <w:iCs/>
                <w:sz w:val="20"/>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color w:val="000000" w:themeColor="text1"/>
                <w:sz w:val="20"/>
              </w:rPr>
              <w:t>组织建立了危险源识别、评价控制程序，识别评价了危险源、风险相关的过程，评价出了重要危险源，与之相关的过程有研发、销售，针对重要危险源制定了管理方案。控制措施实施有效。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color w:val="000000" w:themeColor="text1"/>
                <w:sz w:val="20"/>
                <w:szCs w:val="20"/>
              </w:rPr>
              <w:t>培训、会议、张贴。</w:t>
            </w:r>
          </w:p>
          <w:p>
            <w:pPr>
              <w:pStyle w:val="12"/>
              <w:numPr>
                <w:ilvl w:val="0"/>
                <w:numId w:val="1"/>
              </w:numPr>
              <w:tabs>
                <w:tab w:val="left" w:pos="540"/>
              </w:tabs>
              <w:spacing w:line="300" w:lineRule="exact"/>
              <w:ind w:firstLineChars="0"/>
              <w:rPr>
                <w:rFonts w:ascii="宋体" w:hAnsi="宋体"/>
                <w:b/>
                <w:sz w:val="21"/>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00" w:firstLineChars="200"/>
              <w:rPr>
                <w:rFonts w:ascii="宋体" w:hAnsi="宋体"/>
                <w:b/>
                <w:color w:val="000000" w:themeColor="text1"/>
                <w:sz w:val="20"/>
              </w:rPr>
            </w:pPr>
            <w:r>
              <w:rPr>
                <w:rFonts w:hint="eastAsia" w:ascii="宋体" w:hAnsi="宋体" w:cs="宋体"/>
                <w:color w:val="000000"/>
                <w:kern w:val="0"/>
                <w:sz w:val="20"/>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00" w:firstLineChars="250"/>
              <w:rPr>
                <w:color w:val="000000"/>
                <w:sz w:val="20"/>
              </w:rPr>
            </w:pPr>
            <w:r>
              <w:rPr>
                <w:rFonts w:hint="eastAsia"/>
                <w:color w:val="000000"/>
                <w:sz w:val="20"/>
              </w:rPr>
              <w:t>环境、职业健康安全目标：</w:t>
            </w:r>
          </w:p>
          <w:p>
            <w:pPr>
              <w:numPr>
                <w:ilvl w:val="0"/>
                <w:numId w:val="2"/>
              </w:numPr>
              <w:ind w:firstLine="500" w:firstLineChars="250"/>
              <w:rPr>
                <w:color w:val="000000"/>
                <w:sz w:val="20"/>
              </w:rPr>
            </w:pPr>
            <w:r>
              <w:rPr>
                <w:rFonts w:hint="eastAsia" w:ascii="宋体" w:hAnsi="宋体" w:cs="Tahoma"/>
                <w:kern w:val="0"/>
                <w:sz w:val="20"/>
              </w:rPr>
              <w:t>污染物达标排放，危险废物100%交有资质的单位最终处置</w:t>
            </w:r>
            <w:r>
              <w:rPr>
                <w:rFonts w:hint="eastAsia"/>
                <w:color w:val="000000"/>
                <w:sz w:val="20"/>
              </w:rPr>
              <w:t>；</w:t>
            </w:r>
          </w:p>
          <w:p>
            <w:pPr>
              <w:numPr>
                <w:ilvl w:val="0"/>
                <w:numId w:val="2"/>
              </w:numPr>
              <w:ind w:firstLine="500" w:firstLineChars="250"/>
              <w:rPr>
                <w:rFonts w:ascii="宋体" w:hAnsi="宋体" w:cs="宋体"/>
                <w:color w:val="000000"/>
                <w:sz w:val="20"/>
              </w:rPr>
            </w:pPr>
            <w:r>
              <w:rPr>
                <w:rFonts w:hint="eastAsia" w:ascii="宋体" w:hAnsi="宋体" w:cs="Tahoma"/>
                <w:kern w:val="0"/>
                <w:sz w:val="20"/>
              </w:rPr>
              <w:t>重伤以上事故为零</w:t>
            </w:r>
            <w:r>
              <w:rPr>
                <w:rFonts w:hint="eastAsia" w:ascii="宋体" w:hAnsi="宋体" w:cs="宋体"/>
                <w:color w:val="000000"/>
                <w:sz w:val="20"/>
              </w:rPr>
              <w:t>；</w:t>
            </w:r>
          </w:p>
          <w:p>
            <w:pPr>
              <w:spacing w:line="240" w:lineRule="exact"/>
              <w:ind w:firstLine="600" w:firstLineChars="300"/>
              <w:rPr>
                <w:rFonts w:ascii="宋体" w:hAnsi="宋体"/>
                <w:b/>
                <w:sz w:val="21"/>
                <w:szCs w:val="21"/>
              </w:rPr>
            </w:pPr>
            <w:r>
              <w:rPr>
                <w:rFonts w:hint="eastAsia" w:ascii="宋体" w:hAnsi="宋体" w:cs="Tahoma"/>
                <w:kern w:val="0"/>
                <w:sz w:val="20"/>
                <w:lang w:val="en-US" w:eastAsia="zh-CN"/>
              </w:rPr>
              <w:t>3、</w:t>
            </w:r>
            <w:r>
              <w:rPr>
                <w:rFonts w:hint="eastAsia" w:ascii="宋体" w:hAnsi="宋体" w:cs="Tahoma"/>
                <w:kern w:val="0"/>
                <w:sz w:val="20"/>
              </w:rPr>
              <w:t>火灾、环境污染事件为零</w:t>
            </w:r>
            <w:r>
              <w:rPr>
                <w:rFonts w:hint="eastAsia" w:ascii="宋体" w:hAnsi="宋体" w:cs="宋体"/>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宋体"/>
                <w:color w:val="000000" w:themeColor="text1"/>
                <w:sz w:val="20"/>
              </w:rPr>
              <w:t>公司按照申请认证的标准要求，建立并形成了文件化的</w:t>
            </w:r>
            <w:r>
              <w:rPr>
                <w:rFonts w:hint="eastAsia" w:ascii="宋体" w:hAnsi="宋体"/>
                <w:color w:val="000000" w:themeColor="text1"/>
                <w:sz w:val="20"/>
              </w:rPr>
              <w:t>环境和职业健康安全</w:t>
            </w:r>
            <w:r>
              <w:rPr>
                <w:rFonts w:hint="eastAsia" w:ascii="宋体" w:hAnsi="宋体" w:cs="宋体"/>
                <w:color w:val="000000" w:themeColor="text1"/>
                <w:sz w:val="20"/>
              </w:rPr>
              <w:t>管理体系，体系文件对管理体系各过程进行了识别确定、明确了各要素间的相互关系及其管控要求。公司体系文件于</w:t>
            </w:r>
            <w:r>
              <w:rPr>
                <w:rFonts w:hint="eastAsia" w:ascii="宋体" w:hAnsi="宋体" w:cs="Arial"/>
                <w:color w:val="000000" w:themeColor="text1"/>
                <w:sz w:val="20"/>
              </w:rPr>
              <w:t>2018</w:t>
            </w:r>
            <w:r>
              <w:rPr>
                <w:rFonts w:hint="eastAsia" w:ascii="宋体" w:hAnsi="宋体" w:cs="宋体"/>
                <w:color w:val="000000" w:themeColor="text1"/>
                <w:sz w:val="20"/>
              </w:rPr>
              <w:t>年12月1日予以发布，2019年12月1日进行了OHSMS升版，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00" w:firstLineChars="200"/>
              <w:rPr>
                <w:rFonts w:ascii="宋体" w:hAnsi="宋体"/>
                <w:bCs/>
                <w:iCs/>
                <w:sz w:val="20"/>
              </w:rPr>
            </w:pPr>
            <w:r>
              <w:rPr>
                <w:rFonts w:hint="eastAsia" w:ascii="宋体" w:hAnsi="宋体"/>
                <w:bCs/>
                <w:iCs/>
                <w:sz w:val="20"/>
              </w:rPr>
              <w:t>组织按管理体系需求配置了充足的人员、设施、监视和测量设备等资源，并建立维持了资质范围内的石油化工工程总承包；工程管理服务；化工专用设备（需资质许可除外）设计、销售及相关服务运行环境，可以维持管理体系的正常运行。</w:t>
            </w:r>
          </w:p>
          <w:p>
            <w:pPr>
              <w:spacing w:line="300" w:lineRule="exact"/>
              <w:rPr>
                <w:rFonts w:ascii="宋体" w:hAnsi="宋体"/>
                <w:b/>
                <w:sz w:val="21"/>
                <w:szCs w:val="21"/>
              </w:rPr>
            </w:pPr>
            <w:r>
              <w:rPr>
                <w:rFonts w:hint="eastAsia" w:ascii="宋体" w:hAnsi="宋体"/>
                <w:bCs/>
                <w:iCs/>
                <w:sz w:val="20"/>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r>
              <w:rPr>
                <w:rFonts w:hint="eastAsia" w:ascii="宋体" w:hAnsi="宋体"/>
                <w:sz w:val="20"/>
              </w:rPr>
              <w:t>办公场所面积200平方左右。</w:t>
            </w:r>
            <w:r>
              <w:rPr>
                <w:rFonts w:hint="eastAsia" w:ascii="宋体" w:hAnsi="宋体" w:cs="宋体"/>
                <w:sz w:val="20"/>
              </w:rPr>
              <w:t>主要生产设备包括</w:t>
            </w:r>
            <w:r>
              <w:rPr>
                <w:rFonts w:hint="eastAsia" w:ascii="宋体" w:hAnsi="宋体"/>
                <w:sz w:val="20"/>
              </w:rPr>
              <w:t>电脑、打印机、</w:t>
            </w:r>
            <w:r>
              <w:rPr>
                <w:rFonts w:hint="eastAsia" w:ascii="宋体" w:hAnsi="宋体" w:cs="宋体"/>
                <w:sz w:val="20"/>
              </w:rPr>
              <w:t>钢绳、葫芦、电焊机、切割机、配电柜等</w:t>
            </w:r>
            <w:r>
              <w:rPr>
                <w:rFonts w:hint="eastAsia" w:ascii="宋体" w:hAnsi="宋体"/>
                <w:sz w:val="20"/>
              </w:rPr>
              <w:t>设备，可以满足石油化工工程总承包；工程管理服务；化工专用设备设计、销售的需要</w:t>
            </w:r>
            <w:r>
              <w:rPr>
                <w:rFonts w:hint="eastAsia" w:ascii="宋体" w:hAnsi="宋体" w:cs="宋体"/>
                <w:sz w:val="20"/>
              </w:rPr>
              <w:t>。对设备按月方式进行点检维护保养，并实施。特种设备：无。公司未建立信息管理系统用于生产和服务。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cs="宋体"/>
                <w:sz w:val="20"/>
              </w:rPr>
              <w:t>办公、生产服务场所和内设备布置合理，通道畅通，照明设施齐全，均配备了消防设施等设施。办公室明亮，培训场所光线较充足。每月由综合部对工作环境进行定期检查。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宋体" w:hAnsi="宋体" w:cs="宋体"/>
                <w:sz w:val="20"/>
              </w:rPr>
              <w:t>配置有卡尺、卷尺、角尺等，检测设备受控。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hint="eastAsia" w:ascii="宋体" w:hAnsi="宋体"/>
                <w:sz w:val="20"/>
              </w:rPr>
            </w:pPr>
            <w:r>
              <w:rPr>
                <w:rFonts w:hint="eastAsia" w:ascii="宋体" w:hAnsi="宋体"/>
                <w:sz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sz w:val="20"/>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宋体" w:hAnsi="宋体"/>
                <w:b/>
                <w:sz w:val="21"/>
                <w:szCs w:val="21"/>
              </w:rPr>
            </w:pPr>
            <w:r>
              <w:rPr>
                <w:rFonts w:hint="eastAsia" w:ascii="宋体" w:hAnsi="宋体" w:cs="宋体"/>
                <w:sz w:val="20"/>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内部沟通的情况：内部沟通方式：</w:t>
            </w:r>
            <w:r>
              <w:rPr>
                <w:rFonts w:hint="eastAsia" w:ascii="宋体" w:hAnsi="宋体" w:cs="宋体"/>
                <w:color w:val="000000"/>
                <w:sz w:val="20"/>
              </w:rPr>
              <w:t>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b/>
                <w:sz w:val="21"/>
                <w:szCs w:val="21"/>
              </w:rPr>
            </w:pPr>
            <w:r>
              <w:rPr>
                <w:rFonts w:hint="eastAsia" w:ascii="宋体" w:hAnsi="宋体"/>
                <w:b/>
                <w:sz w:val="21"/>
                <w:szCs w:val="21"/>
              </w:rPr>
              <w:t>内部沟通的效果：</w:t>
            </w:r>
            <w:r>
              <w:rPr>
                <w:rFonts w:hint="eastAsia" w:ascii="楷体_GB2312" w:eastAsia="楷体_GB2312"/>
                <w:b/>
                <w:color w:val="000000" w:themeColor="text1"/>
                <w:sz w:val="20"/>
              </w:rPr>
              <w:t>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楷体_GB2312" w:eastAsia="楷体_GB2312"/>
                <w:b/>
                <w:color w:val="000000" w:themeColor="text1"/>
                <w:sz w:val="20"/>
              </w:rPr>
              <w:t>对会议通知和规定等登记处理</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sz w:val="20"/>
              </w:rPr>
              <w:t>主要通过网络、交流及公开信、合同等方式进行，并达成一致性意见实施有效控制</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ascii="宋体" w:hAnsi="宋体" w:cs="Arial"/>
                <w:sz w:val="20"/>
              </w:rPr>
              <w:t>安全健康管理有关的法律法规，包括《劳动合同法》、《工伤保险条例》等关于员工权益、保险等内容</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楷体_GB2312" w:eastAsia="楷体_GB2312"/>
                <w:b/>
                <w:color w:val="000000" w:themeColor="text1"/>
                <w:sz w:val="20"/>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b/>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r>
              <w:rPr>
                <w:rFonts w:hint="eastAsia"/>
                <w:b/>
                <w:color w:val="000000" w:themeColor="text1"/>
                <w:sz w:val="20"/>
              </w:rPr>
              <w:t>/</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hint="eastAsia"/>
                <w:b/>
                <w:color w:val="000000" w:themeColor="text1"/>
                <w:sz w:val="20"/>
              </w:rPr>
            </w:pPr>
            <w:r>
              <w:rPr>
                <w:rFonts w:hint="eastAsia"/>
                <w:b/>
                <w:color w:val="000000" w:themeColor="text1"/>
                <w:sz w:val="20"/>
              </w:rPr>
              <w:t>/</w:t>
            </w:r>
          </w:p>
          <w:p>
            <w:pPr>
              <w:spacing w:line="240" w:lineRule="exact"/>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b/>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Theme="minorEastAsia" w:hAnsiTheme="minorEastAsia" w:eastAsiaTheme="minorEastAsia"/>
                <w:bCs/>
                <w:iCs/>
                <w:sz w:val="20"/>
              </w:rPr>
              <w:t>组织重要环境因素为固废排放、噪声排放、粉尘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8. OHSMS</w:t>
            </w:r>
            <w:r>
              <w:rPr>
                <w:rFonts w:hint="eastAsia" w:ascii="宋体" w:hAnsi="宋体"/>
                <w:b/>
                <w:sz w:val="21"/>
                <w:szCs w:val="21"/>
              </w:rPr>
              <w:t>组织对不可接受风险实施控制的结果</w:t>
            </w:r>
            <w:r>
              <w:rPr>
                <w:rFonts w:hint="eastAsia" w:ascii="宋体" w:hAnsi="宋体"/>
                <w:b/>
                <w:sz w:val="21"/>
                <w:szCs w:val="21"/>
                <w:lang w:val="en-US" w:eastAsia="zh-CN"/>
              </w:rPr>
              <w:t xml:space="preserve"> </w:t>
            </w:r>
          </w:p>
          <w:p>
            <w:pPr>
              <w:spacing w:line="240" w:lineRule="exact"/>
              <w:rPr>
                <w:rFonts w:hint="eastAsia" w:ascii="宋体" w:hAnsi="宋体" w:eastAsia="宋体"/>
                <w:b/>
                <w:sz w:val="21"/>
                <w:szCs w:val="21"/>
                <w:lang w:val="en-US" w:eastAsia="zh-CN"/>
              </w:rPr>
            </w:pPr>
            <w:r>
              <w:rPr>
                <w:rFonts w:hint="eastAsia" w:asciiTheme="minorEastAsia" w:hAnsiTheme="minorEastAsia" w:eastAsiaTheme="minorEastAsia"/>
                <w:bCs/>
                <w:iCs/>
                <w:sz w:val="20"/>
              </w:rPr>
              <w:t>组织建立了危险源识别、评价控制程序，识别评价了危险源、风险相关的过程，评价出了重要危险源（触电、潜在火灾、意外伤害等），与之相关的过程有施工、设计、销售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heme="minorEastAsia" w:hAnsiTheme="minorEastAsia" w:eastAsiaTheme="minorEastAsia"/>
                <w:bCs/>
                <w:iCs/>
                <w:sz w:val="20"/>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0" w:firstLineChars="50"/>
              <w:jc w:val="left"/>
              <w:rPr>
                <w:rFonts w:ascii="宋体" w:hAnsi="宋体"/>
                <w:b/>
                <w:sz w:val="21"/>
                <w:szCs w:val="21"/>
              </w:rPr>
            </w:pPr>
            <w:r>
              <w:rPr>
                <w:rFonts w:hint="eastAsia"/>
                <w:b/>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eastAsia="zh-CN"/>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0" w:firstLineChars="50"/>
              <w:rPr>
                <w:rFonts w:ascii="宋体" w:hAnsi="宋体"/>
                <w:b/>
                <w:sz w:val="21"/>
                <w:szCs w:val="21"/>
              </w:rPr>
            </w:pPr>
            <w:r>
              <w:rPr>
                <w:rFonts w:hint="eastAsia" w:ascii="宋体" w:hAnsi="宋体" w:cs="宋体"/>
                <w:color w:val="000000"/>
                <w:sz w:val="20"/>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 w:val="20"/>
              </w:rPr>
              <w:t>通过202</w:t>
            </w:r>
            <w:r>
              <w:rPr>
                <w:rFonts w:hint="eastAsia" w:ascii="宋体" w:hAnsi="宋体" w:cs="宋体"/>
                <w:color w:val="auto"/>
                <w:sz w:val="20"/>
                <w:lang w:val="en-US" w:eastAsia="zh-CN"/>
              </w:rPr>
              <w:t>1</w:t>
            </w:r>
            <w:r>
              <w:rPr>
                <w:rFonts w:hint="eastAsia" w:ascii="宋体" w:hAnsi="宋体" w:cs="宋体"/>
                <w:color w:val="auto"/>
                <w:sz w:val="20"/>
              </w:rPr>
              <w:t>年1-</w:t>
            </w:r>
            <w:r>
              <w:rPr>
                <w:rFonts w:hint="eastAsia" w:ascii="宋体" w:hAnsi="宋体" w:cs="宋体"/>
                <w:color w:val="auto"/>
                <w:sz w:val="20"/>
                <w:lang w:val="en-US" w:eastAsia="zh-CN"/>
              </w:rPr>
              <w:t>5</w:t>
            </w:r>
            <w:r>
              <w:rPr>
                <w:rFonts w:hint="eastAsia" w:ascii="宋体" w:hAnsi="宋体" w:cs="宋体"/>
                <w:color w:val="auto"/>
                <w:sz w:val="20"/>
              </w:rPr>
              <w:t>月目标</w:t>
            </w:r>
            <w:r>
              <w:rPr>
                <w:rFonts w:hint="eastAsia" w:ascii="宋体" w:hAnsi="宋体" w:cs="宋体"/>
                <w:color w:val="000000"/>
                <w:sz w:val="20"/>
              </w:rPr>
              <w:t>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5" w:hanging="105" w:hangingChars="50"/>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cs="宋体"/>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r>
              <w:rPr>
                <w:rFonts w:hint="eastAsia" w:ascii="宋体" w:hAnsi="宋体"/>
                <w:sz w:val="20"/>
              </w:rPr>
              <w:t>建立有《内部审核控制程序》，规定了内审频次一年一</w:t>
            </w:r>
            <w:r>
              <w:rPr>
                <w:rFonts w:hint="eastAsia" w:ascii="宋体" w:hAnsi="宋体"/>
                <w:color w:val="auto"/>
                <w:sz w:val="20"/>
              </w:rPr>
              <w:t>次，内审时间：202</w:t>
            </w:r>
            <w:r>
              <w:rPr>
                <w:rFonts w:hint="eastAsia" w:ascii="宋体" w:hAnsi="宋体"/>
                <w:color w:val="auto"/>
                <w:sz w:val="20"/>
                <w:lang w:val="en-US" w:eastAsia="zh-CN"/>
              </w:rPr>
              <w:t>1</w:t>
            </w:r>
            <w:r>
              <w:rPr>
                <w:rFonts w:hint="eastAsia" w:ascii="宋体" w:hAnsi="宋体"/>
                <w:color w:val="auto"/>
                <w:sz w:val="20"/>
              </w:rPr>
              <w:t>年3月</w:t>
            </w:r>
            <w:r>
              <w:rPr>
                <w:rFonts w:hint="eastAsia" w:ascii="宋体" w:hAnsi="宋体"/>
                <w:color w:val="auto"/>
                <w:sz w:val="20"/>
                <w:lang w:val="en-US" w:eastAsia="zh-CN"/>
              </w:rPr>
              <w:t>1</w:t>
            </w:r>
            <w:r>
              <w:rPr>
                <w:rFonts w:hint="eastAsia" w:ascii="宋体" w:hAnsi="宋体"/>
                <w:color w:val="auto"/>
                <w:sz w:val="20"/>
              </w:rPr>
              <w:t>0日，拟定了审核实施表，明确了内审范围，内审人员经培训合格上岗，能力满足要求，未出现审核本部门情况，内审不符合项1项，涉及综合部E</w:t>
            </w:r>
            <w:r>
              <w:rPr>
                <w:rFonts w:hint="eastAsia" w:ascii="宋体" w:hAnsi="宋体"/>
                <w:color w:val="auto"/>
                <w:sz w:val="20"/>
                <w:lang w:val="en-US" w:eastAsia="zh-CN"/>
              </w:rPr>
              <w:t>S8.2</w:t>
            </w:r>
            <w:r>
              <w:rPr>
                <w:rFonts w:hint="eastAsia" w:ascii="宋体" w:hAnsi="宋体"/>
                <w:color w:val="auto"/>
                <w:sz w:val="20"/>
              </w:rPr>
              <w:t>条款不能提供消防应急预案的演练证据，针对该不符合项，已及时采取纠正措施后，经内审员验证关闭。内审的有效性需要改善。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sz w:val="20"/>
              </w:rPr>
              <w:t>管理评审频次为一年一次、本次管</w:t>
            </w:r>
            <w:r>
              <w:rPr>
                <w:rFonts w:hint="eastAsia" w:ascii="宋体" w:hAnsi="宋体" w:cs="宋体"/>
                <w:color w:val="auto"/>
                <w:sz w:val="20"/>
              </w:rPr>
              <w:t>理评审于</w:t>
            </w:r>
            <w:r>
              <w:rPr>
                <w:rFonts w:hint="eastAsia" w:ascii="宋体" w:hAnsi="宋体"/>
                <w:color w:val="auto"/>
                <w:sz w:val="20"/>
              </w:rPr>
              <w:t>202</w:t>
            </w:r>
            <w:r>
              <w:rPr>
                <w:rFonts w:hint="eastAsia" w:ascii="宋体" w:hAnsi="宋体"/>
                <w:color w:val="auto"/>
                <w:sz w:val="20"/>
                <w:lang w:val="en-US" w:eastAsia="zh-CN"/>
              </w:rPr>
              <w:t>1</w:t>
            </w:r>
            <w:r>
              <w:rPr>
                <w:rFonts w:hint="eastAsia" w:ascii="宋体" w:hAnsi="宋体"/>
                <w:color w:val="auto"/>
                <w:sz w:val="20"/>
              </w:rPr>
              <w:t>年3月</w:t>
            </w:r>
            <w:r>
              <w:rPr>
                <w:rFonts w:hint="eastAsia" w:ascii="宋体" w:hAnsi="宋体"/>
                <w:color w:val="auto"/>
                <w:sz w:val="20"/>
                <w:lang w:val="en-US" w:eastAsia="zh-CN"/>
              </w:rPr>
              <w:t>2</w:t>
            </w:r>
            <w:r>
              <w:rPr>
                <w:rFonts w:hint="eastAsia" w:ascii="宋体" w:hAnsi="宋体"/>
                <w:color w:val="auto"/>
                <w:sz w:val="20"/>
              </w:rPr>
              <w:t>0日</w:t>
            </w:r>
            <w:r>
              <w:rPr>
                <w:rFonts w:hint="eastAsia" w:ascii="宋体" w:hAnsi="宋体" w:cs="宋体"/>
                <w:color w:val="auto"/>
                <w:sz w:val="20"/>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r>
              <w:rPr>
                <w:rFonts w:hint="eastAsia"/>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eastAsia="zh-CN"/>
              </w:rPr>
            </w:pPr>
            <w:r>
              <w:rPr>
                <w:rFonts w:hint="eastAsia" w:ascii="宋体" w:hAnsi="宋体"/>
                <w:b/>
                <w:sz w:val="21"/>
                <w:szCs w:val="21"/>
                <w:lang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themeColor="text1"/>
                <w:sz w:val="20"/>
              </w:rPr>
              <w:t>公司明确通过对内、外审核结果、管理评审输出、监测和测量等活动中识别出</w:t>
            </w:r>
            <w:r>
              <w:rPr>
                <w:rFonts w:hint="eastAsia" w:ascii="宋体" w:hAnsi="宋体"/>
                <w:color w:val="000000" w:themeColor="text1"/>
                <w:sz w:val="20"/>
              </w:rPr>
              <w:t>在产品/服务、过程、管理体系等方面</w:t>
            </w:r>
            <w:r>
              <w:rPr>
                <w:rFonts w:hint="eastAsia" w:ascii="宋体" w:hAnsi="宋体" w:cs="宋体"/>
                <w:color w:val="000000" w:themeColor="text1"/>
                <w:sz w:val="20"/>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0"/>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val="en-US" w:eastAsia="zh-CN"/>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val="en-US" w:eastAsia="zh-CN"/>
              </w:rPr>
              <w:t xml:space="preserve">  </w:t>
            </w:r>
          </w:p>
          <w:p>
            <w:pPr>
              <w:spacing w:line="240" w:lineRule="exact"/>
              <w:rPr>
                <w:rFonts w:hint="default" w:ascii="宋体" w:hAnsi="宋体"/>
                <w:b/>
                <w:sz w:val="21"/>
                <w:szCs w:val="21"/>
                <w:lang w:val="en-US" w:eastAsia="zh-CN"/>
              </w:rPr>
            </w:pPr>
            <w:r>
              <w:rPr>
                <w:rFonts w:hint="eastAsia" w:ascii="宋体" w:hAnsi="宋体"/>
                <w:b w:val="0"/>
                <w:bCs/>
                <w:sz w:val="21"/>
                <w:szCs w:val="21"/>
                <w:lang w:val="en-US" w:eastAsia="zh-CN"/>
              </w:rPr>
              <w:t>上次不符合为综合部ES7.5.3，本次审核未发现类似情况发生。整改有效。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w:t>
      </w:r>
      <w:r>
        <w:rPr>
          <w:rFonts w:hint="eastAsia" w:ascii="宋体" w:hAnsi="宋体"/>
          <w:b/>
          <w:szCs w:val="21"/>
          <w:lang w:eastAsia="zh-CN"/>
        </w:rPr>
        <w:t>综合部</w:t>
      </w:r>
      <w:r>
        <w:rPr>
          <w:rFonts w:hint="eastAsia" w:ascii="宋体" w:hAnsi="宋体"/>
          <w:b/>
          <w:szCs w:val="21"/>
        </w:rPr>
        <w:t>部门</w:t>
      </w:r>
      <w:r>
        <w:rPr>
          <w:rFonts w:hint="eastAsia" w:ascii="宋体" w:hAnsi="宋体"/>
          <w:b/>
          <w:szCs w:val="21"/>
          <w:lang w:val="en-US" w:eastAsia="zh-CN"/>
        </w:rPr>
        <w:t>E：9.1.2、S：9.1.2</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4384" behindDoc="0" locked="0" layoutInCell="1" allowOverlap="1">
            <wp:simplePos x="0" y="0"/>
            <wp:positionH relativeFrom="column">
              <wp:posOffset>1836420</wp:posOffset>
            </wp:positionH>
            <wp:positionV relativeFrom="paragraph">
              <wp:posOffset>316865</wp:posOffset>
            </wp:positionV>
            <wp:extent cx="323850" cy="335280"/>
            <wp:effectExtent l="0" t="0" r="0" b="7620"/>
            <wp:wrapNone/>
            <wp:docPr id="1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3181350</wp:posOffset>
            </wp:positionH>
            <wp:positionV relativeFrom="paragraph">
              <wp:posOffset>226060</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3360" behindDoc="1" locked="0" layoutInCell="1" allowOverlap="1">
            <wp:simplePos x="0" y="0"/>
            <wp:positionH relativeFrom="column">
              <wp:posOffset>2235835</wp:posOffset>
            </wp:positionH>
            <wp:positionV relativeFrom="paragraph">
              <wp:posOffset>186690</wp:posOffset>
            </wp:positionV>
            <wp:extent cx="759460" cy="304800"/>
            <wp:effectExtent l="0" t="0" r="2540" b="0"/>
            <wp:wrapTight wrapText="bothSides">
              <wp:wrapPolygon>
                <wp:start x="0" y="0"/>
                <wp:lineTo x="0" y="20250"/>
                <wp:lineTo x="21130" y="20250"/>
                <wp:lineTo x="21130" y="0"/>
                <wp:lineTo x="0" y="0"/>
              </wp:wrapPolygon>
            </wp:wrapTight>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8"/>
                    <a:stretch>
                      <a:fillRect/>
                    </a:stretch>
                  </pic:blipFill>
                  <pic:spPr>
                    <a:xfrm>
                      <a:off x="0" y="0"/>
                      <a:ext cx="759460" cy="304800"/>
                    </a:xfrm>
                    <a:prstGeom prst="rect">
                      <a:avLst/>
                    </a:prstGeom>
                  </pic:spPr>
                </pic:pic>
              </a:graphicData>
            </a:graphic>
          </wp:anchor>
        </w:drawing>
      </w:r>
      <w:r>
        <w:rPr>
          <w:sz w:val="22"/>
          <w:szCs w:val="22"/>
        </w:rPr>
        <w:drawing>
          <wp:anchor distT="0" distB="0" distL="114300" distR="114300" simplePos="0" relativeHeight="251665408" behindDoc="0" locked="0" layoutInCell="1" allowOverlap="1">
            <wp:simplePos x="0" y="0"/>
            <wp:positionH relativeFrom="column">
              <wp:posOffset>1666240</wp:posOffset>
            </wp:positionH>
            <wp:positionV relativeFrom="paragraph">
              <wp:posOffset>187325</wp:posOffset>
            </wp:positionV>
            <wp:extent cx="412115" cy="269875"/>
            <wp:effectExtent l="0" t="0" r="6985" b="15875"/>
            <wp:wrapNone/>
            <wp:docPr id="16" name="图片 16"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de3ae164cf7699def4c632e53688b"/>
                    <pic:cNvPicPr>
                      <a:picLocks noChangeAspect="1"/>
                    </pic:cNvPicPr>
                  </pic:nvPicPr>
                  <pic:blipFill>
                    <a:blip r:embed="rId9"/>
                    <a:stretch>
                      <a:fillRect/>
                    </a:stretch>
                  </pic:blipFill>
                  <pic:spPr>
                    <a:xfrm>
                      <a:off x="0" y="0"/>
                      <a:ext cx="412115" cy="269875"/>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2021.6.24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bookmarkStart w:id="27" w:name="_GoBack"/>
      <w:bookmarkEnd w:id="27"/>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8" w:firstLineChars="343"/>
        <w:rPr>
          <w:b/>
          <w:sz w:val="21"/>
          <w:szCs w:val="21"/>
          <w:u w:val="single"/>
        </w:rPr>
      </w:pPr>
      <w:r>
        <w:rPr>
          <w:rFonts w:hint="eastAsia"/>
          <w:b/>
          <w:sz w:val="22"/>
          <w:szCs w:val="22"/>
        </w:rPr>
        <w:drawing>
          <wp:anchor distT="0" distB="0" distL="114300" distR="114300" simplePos="0" relativeHeight="251666432" behindDoc="0" locked="0" layoutInCell="1" allowOverlap="1">
            <wp:simplePos x="0" y="0"/>
            <wp:positionH relativeFrom="column">
              <wp:posOffset>1113790</wp:posOffset>
            </wp:positionH>
            <wp:positionV relativeFrom="paragraph">
              <wp:posOffset>71120</wp:posOffset>
            </wp:positionV>
            <wp:extent cx="323850" cy="335280"/>
            <wp:effectExtent l="0" t="0" r="0" b="762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11BCF"/>
    <w:multiLevelType w:val="singleLevel"/>
    <w:tmpl w:val="FE711BCF"/>
    <w:lvl w:ilvl="0" w:tentative="0">
      <w:start w:val="1"/>
      <w:numFmt w:val="decimal"/>
      <w:suff w:val="nothing"/>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273AFD"/>
    <w:rsid w:val="04DA5340"/>
    <w:rsid w:val="07AF08AB"/>
    <w:rsid w:val="0A36187F"/>
    <w:rsid w:val="0BEE53E5"/>
    <w:rsid w:val="0EAC0860"/>
    <w:rsid w:val="0EF769A4"/>
    <w:rsid w:val="0F703725"/>
    <w:rsid w:val="11182195"/>
    <w:rsid w:val="12E01232"/>
    <w:rsid w:val="13623C1F"/>
    <w:rsid w:val="15C95031"/>
    <w:rsid w:val="16AD2692"/>
    <w:rsid w:val="17A13679"/>
    <w:rsid w:val="187633C8"/>
    <w:rsid w:val="18B73BF2"/>
    <w:rsid w:val="1ABD36C8"/>
    <w:rsid w:val="1D2A7258"/>
    <w:rsid w:val="1D3718B5"/>
    <w:rsid w:val="211B7953"/>
    <w:rsid w:val="213B1C0F"/>
    <w:rsid w:val="21D64A58"/>
    <w:rsid w:val="22A35C52"/>
    <w:rsid w:val="24DF1500"/>
    <w:rsid w:val="250425F5"/>
    <w:rsid w:val="25F34BA6"/>
    <w:rsid w:val="27793811"/>
    <w:rsid w:val="2A9548DD"/>
    <w:rsid w:val="2BA11DA4"/>
    <w:rsid w:val="2BB13AB0"/>
    <w:rsid w:val="2C4004A4"/>
    <w:rsid w:val="2CE346A4"/>
    <w:rsid w:val="2D3D6610"/>
    <w:rsid w:val="32B46C94"/>
    <w:rsid w:val="3300020C"/>
    <w:rsid w:val="345A070D"/>
    <w:rsid w:val="351A4C7D"/>
    <w:rsid w:val="361C18B9"/>
    <w:rsid w:val="36C309A8"/>
    <w:rsid w:val="370E45BA"/>
    <w:rsid w:val="381B33DB"/>
    <w:rsid w:val="395D0981"/>
    <w:rsid w:val="3B2A2461"/>
    <w:rsid w:val="3CA657AA"/>
    <w:rsid w:val="3D8710B5"/>
    <w:rsid w:val="3FF01B09"/>
    <w:rsid w:val="432E2549"/>
    <w:rsid w:val="45F712BC"/>
    <w:rsid w:val="46BA75ED"/>
    <w:rsid w:val="477D4CA8"/>
    <w:rsid w:val="47804717"/>
    <w:rsid w:val="48F54EFB"/>
    <w:rsid w:val="490D7668"/>
    <w:rsid w:val="497B673D"/>
    <w:rsid w:val="49E244F8"/>
    <w:rsid w:val="4A036988"/>
    <w:rsid w:val="4AF66E6E"/>
    <w:rsid w:val="4BB5123E"/>
    <w:rsid w:val="4CEE4C3B"/>
    <w:rsid w:val="4DEC136A"/>
    <w:rsid w:val="4F446A84"/>
    <w:rsid w:val="506976F5"/>
    <w:rsid w:val="515A6FC7"/>
    <w:rsid w:val="521D287B"/>
    <w:rsid w:val="53407CB6"/>
    <w:rsid w:val="53BB3ADA"/>
    <w:rsid w:val="550406EE"/>
    <w:rsid w:val="564304A5"/>
    <w:rsid w:val="56AB76CF"/>
    <w:rsid w:val="57B77417"/>
    <w:rsid w:val="59236580"/>
    <w:rsid w:val="5B243863"/>
    <w:rsid w:val="5C1531C9"/>
    <w:rsid w:val="5D5C1DB7"/>
    <w:rsid w:val="5F880DE8"/>
    <w:rsid w:val="60E728BD"/>
    <w:rsid w:val="61AF2086"/>
    <w:rsid w:val="636965E9"/>
    <w:rsid w:val="68BF586E"/>
    <w:rsid w:val="6A1120AE"/>
    <w:rsid w:val="6D695818"/>
    <w:rsid w:val="6E401FA8"/>
    <w:rsid w:val="6F2E7FCD"/>
    <w:rsid w:val="6FC5774C"/>
    <w:rsid w:val="703B6E0E"/>
    <w:rsid w:val="71A05D61"/>
    <w:rsid w:val="71DA7EE1"/>
    <w:rsid w:val="740050A1"/>
    <w:rsid w:val="74AD04F9"/>
    <w:rsid w:val="75DA30D3"/>
    <w:rsid w:val="76E72EA5"/>
    <w:rsid w:val="78A00EA7"/>
    <w:rsid w:val="79213584"/>
    <w:rsid w:val="7979755E"/>
    <w:rsid w:val="7A026F14"/>
    <w:rsid w:val="7AE22EA1"/>
    <w:rsid w:val="7E640E5A"/>
    <w:rsid w:val="7F4A57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2021-06-24T07:38:36Z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5DF7B255B1254BD6BC3113D6ADEB8150</vt:lpwstr>
  </property>
</Properties>
</file>