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0527-2020-QEO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北京科信华仪科技有限公司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rFonts w:hint="eastAsia" w:eastAsia="宋体"/>
                <w:lang w:val="en-US" w:eastAsia="zh-CN"/>
              </w:rPr>
            </w:pPr>
            <w:r>
              <w:rPr>
                <w:b/>
                <w:color w:val="000000"/>
                <w:sz w:val="20"/>
                <w:szCs w:val="20"/>
              </w:rPr>
              <w:t>李京田</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Q:29.12.00,34.06.00</w:t>
            </w:r>
          </w:p>
          <w:p>
            <w:pPr>
              <w:spacing w:line="240" w:lineRule="exact"/>
              <w:jc w:val="center"/>
              <w:rPr>
                <w:b/>
                <w:color w:val="000000"/>
                <w:sz w:val="20"/>
                <w:szCs w:val="20"/>
              </w:rPr>
            </w:pPr>
            <w:r>
              <w:rPr>
                <w:b/>
                <w:color w:val="000000"/>
                <w:sz w:val="20"/>
                <w:szCs w:val="20"/>
              </w:rPr>
              <w:t>E:29.12.00,34.06.00</w:t>
            </w:r>
          </w:p>
          <w:p>
            <w:pPr>
              <w:spacing w:line="240" w:lineRule="exact"/>
              <w:jc w:val="center"/>
              <w:rPr>
                <w:b/>
                <w:color w:val="000000"/>
                <w:sz w:val="20"/>
                <w:szCs w:val="20"/>
              </w:rPr>
            </w:pPr>
            <w:r>
              <w:rPr>
                <w:b/>
                <w:color w:val="000000"/>
                <w:sz w:val="20"/>
                <w:szCs w:val="20"/>
              </w:rPr>
              <w:t>O:29.12.00,34.06.00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李雅静</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Q:29.12.00</w:t>
            </w:r>
          </w:p>
          <w:p>
            <w:pPr>
              <w:spacing w:line="240" w:lineRule="exact"/>
              <w:jc w:val="center"/>
              <w:rPr>
                <w:b/>
                <w:color w:val="000000"/>
                <w:sz w:val="20"/>
                <w:szCs w:val="20"/>
              </w:rPr>
            </w:pPr>
            <w:r>
              <w:rPr>
                <w:b/>
                <w:color w:val="000000"/>
                <w:sz w:val="20"/>
                <w:szCs w:val="20"/>
              </w:rPr>
              <w:t>E:29.12.00</w:t>
            </w:r>
          </w:p>
          <w:p>
            <w:pPr>
              <w:spacing w:line="240" w:lineRule="exact"/>
              <w:jc w:val="center"/>
              <w:rPr>
                <w:b/>
                <w:color w:val="000000"/>
                <w:sz w:val="20"/>
                <w:szCs w:val="20"/>
              </w:rPr>
            </w:pPr>
            <w:r>
              <w:rPr>
                <w:b/>
                <w:color w:val="000000"/>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pStyle w:val="9"/>
              <w:rPr>
                <w:rFonts w:hint="default" w:eastAsia="宋体"/>
                <w:lang w:val="en-US" w:eastAsia="zh-CN"/>
              </w:rPr>
            </w:pPr>
          </w:p>
        </w:tc>
        <w:tc>
          <w:tcPr>
            <w:tcW w:w="851" w:type="dxa"/>
            <w:gridSpan w:val="2"/>
            <w:vAlign w:val="center"/>
          </w:tcPr>
          <w:p>
            <w:pPr>
              <w:spacing w:line="240" w:lineRule="exact"/>
              <w:jc w:val="center"/>
              <w:rPr>
                <w:sz w:val="18"/>
                <w:szCs w:val="18"/>
              </w:rPr>
            </w:pPr>
          </w:p>
        </w:tc>
        <w:tc>
          <w:tcPr>
            <w:tcW w:w="1417" w:type="dxa"/>
            <w:gridSpan w:val="2"/>
            <w:vAlign w:val="center"/>
          </w:tcPr>
          <w:p>
            <w:pPr>
              <w:spacing w:line="240" w:lineRule="exact"/>
              <w:jc w:val="center"/>
              <w:rPr>
                <w:b/>
                <w:color w:val="000000"/>
                <w:sz w:val="20"/>
                <w:szCs w:val="20"/>
              </w:rPr>
            </w:pPr>
          </w:p>
        </w:tc>
        <w:tc>
          <w:tcPr>
            <w:tcW w:w="3402" w:type="dxa"/>
            <w:gridSpan w:val="5"/>
            <w:vAlign w:val="center"/>
          </w:tcPr>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top"/>
          </w:tcPr>
          <w:p>
            <w:pPr>
              <w:spacing w:line="280" w:lineRule="exact"/>
              <w:rPr>
                <w:rFonts w:ascii="宋体"/>
                <w:b/>
                <w:color w:val="000000"/>
                <w:sz w:val="20"/>
                <w:szCs w:val="20"/>
              </w:rPr>
            </w:pPr>
            <w:r>
              <w:rPr>
                <w:rFonts w:ascii="宋体"/>
                <w:b/>
                <w:color w:val="000000"/>
                <w:sz w:val="20"/>
                <w:szCs w:val="20"/>
              </w:rPr>
              <w:t>北京科信华仪科技有限公司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北京市昌平区科技园区超前路37号院16号楼2层B0045号</w:t>
            </w:r>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vAlign w:val="top"/>
          </w:tcPr>
          <w:p>
            <w:pPr>
              <w:spacing w:line="280" w:lineRule="exact"/>
              <w:rPr>
                <w:rFonts w:ascii="宋体"/>
                <w:b/>
                <w:color w:val="000000"/>
                <w:sz w:val="20"/>
                <w:szCs w:val="20"/>
              </w:rPr>
            </w:pPr>
            <w:r>
              <w:rPr>
                <w:rFonts w:ascii="宋体"/>
                <w:b/>
                <w:color w:val="000000"/>
                <w:sz w:val="20"/>
                <w:szCs w:val="20"/>
              </w:rPr>
              <w:t>100080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9" w:name="经营地址"/>
            <w:bookmarkEnd w:id="9"/>
          </w:p>
        </w:tc>
        <w:tc>
          <w:tcPr>
            <w:tcW w:w="1242" w:type="dxa"/>
            <w:vMerge w:val="continue"/>
            <w:vAlign w:val="center"/>
          </w:tcPr>
          <w:p>
            <w:pPr>
              <w:spacing w:line="280" w:lineRule="exact"/>
              <w:jc w:val="center"/>
              <w:rPr>
                <w:rFonts w:ascii="宋体"/>
                <w:b/>
                <w:color w:val="000000"/>
                <w:sz w:val="20"/>
                <w:szCs w:val="20"/>
              </w:rPr>
            </w:pPr>
          </w:p>
        </w:tc>
        <w:tc>
          <w:tcPr>
            <w:tcW w:w="1558" w:type="dxa"/>
            <w:vAlign w:val="top"/>
          </w:tcPr>
          <w:p>
            <w:pPr>
              <w:spacing w:line="280" w:lineRule="exact"/>
              <w:rPr>
                <w:rFonts w:ascii="宋体"/>
                <w:b/>
                <w:color w:val="000000"/>
                <w:sz w:val="20"/>
                <w:szCs w:val="20"/>
              </w:rPr>
            </w:pPr>
            <w:bookmarkStart w:id="10" w:name="经营邮编"/>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vAlign w:val="top"/>
          </w:tcPr>
          <w:p>
            <w:pPr>
              <w:spacing w:line="280" w:lineRule="exact"/>
              <w:rPr>
                <w:rFonts w:ascii="宋体"/>
                <w:b/>
                <w:color w:val="000000"/>
                <w:sz w:val="20"/>
                <w:szCs w:val="20"/>
              </w:rPr>
            </w:pPr>
            <w:r>
              <w:rPr>
                <w:rFonts w:ascii="宋体"/>
                <w:b/>
                <w:color w:val="000000"/>
                <w:sz w:val="20"/>
                <w:szCs w:val="20"/>
              </w:rPr>
              <w:t>北京市海淀区学清路16号学知轩18层1816</w:t>
            </w:r>
          </w:p>
        </w:tc>
        <w:tc>
          <w:tcPr>
            <w:tcW w:w="1242" w:type="dxa"/>
            <w:vMerge w:val="continue"/>
            <w:vAlign w:val="center"/>
          </w:tcPr>
          <w:p>
            <w:pPr>
              <w:spacing w:line="280" w:lineRule="exact"/>
              <w:jc w:val="center"/>
              <w:rPr>
                <w:rFonts w:ascii="宋体"/>
                <w:b/>
                <w:color w:val="000000"/>
                <w:sz w:val="20"/>
                <w:szCs w:val="20"/>
              </w:rPr>
            </w:pPr>
          </w:p>
        </w:tc>
        <w:tc>
          <w:tcPr>
            <w:tcW w:w="1558" w:type="dxa"/>
            <w:vAlign w:val="top"/>
          </w:tcPr>
          <w:p>
            <w:pPr>
              <w:spacing w:line="280" w:lineRule="exact"/>
              <w:rPr>
                <w:rFonts w:ascii="宋体"/>
                <w:b/>
                <w:color w:val="000000"/>
                <w:sz w:val="20"/>
                <w:szCs w:val="20"/>
              </w:rPr>
            </w:pPr>
            <w:r>
              <w:rPr>
                <w:rFonts w:ascii="宋体"/>
                <w:b/>
                <w:color w:val="000000"/>
                <w:sz w:val="20"/>
                <w:szCs w:val="20"/>
              </w:rPr>
              <w:t>100080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top"/>
          </w:tcPr>
          <w:p>
            <w:pPr>
              <w:spacing w:line="280" w:lineRule="exact"/>
              <w:rPr>
                <w:rFonts w:ascii="宋体"/>
                <w:b/>
                <w:color w:val="000000"/>
                <w:sz w:val="20"/>
                <w:szCs w:val="20"/>
              </w:rPr>
            </w:pPr>
            <w:r>
              <w:rPr>
                <w:rFonts w:ascii="宋体"/>
                <w:b/>
                <w:color w:val="000000"/>
                <w:sz w:val="20"/>
                <w:szCs w:val="20"/>
              </w:rPr>
              <w:t>杨云博</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r>
              <w:rPr>
                <w:rFonts w:ascii="宋体"/>
                <w:b/>
                <w:color w:val="000000"/>
                <w:sz w:val="20"/>
                <w:szCs w:val="20"/>
              </w:rPr>
              <w:t>18010231302</w:t>
            </w:r>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1" w:name="联系人传真Add1"/>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top"/>
          </w:tcPr>
          <w:p>
            <w:pPr>
              <w:rPr>
                <w:rFonts w:ascii="宋体"/>
                <w:b/>
                <w:color w:val="000000"/>
                <w:sz w:val="20"/>
                <w:szCs w:val="20"/>
              </w:rPr>
            </w:pPr>
            <w:r>
              <w:rPr>
                <w:rFonts w:ascii="宋体"/>
                <w:b/>
                <w:color w:val="000000"/>
                <w:sz w:val="20"/>
                <w:szCs w:val="20"/>
              </w:rPr>
              <w:t>杨云博</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top"/>
          </w:tcPr>
          <w:p>
            <w:pPr>
              <w:rPr>
                <w:rFonts w:ascii="宋体"/>
                <w:b/>
                <w:color w:val="000000"/>
                <w:sz w:val="20"/>
                <w:szCs w:val="20"/>
              </w:rPr>
            </w:pPr>
            <w:r>
              <w:rPr>
                <w:rFonts w:ascii="宋体"/>
                <w:b/>
                <w:color w:val="000000"/>
                <w:sz w:val="20"/>
                <w:szCs w:val="20"/>
              </w:rPr>
              <w:t>杨云博</w:t>
            </w:r>
          </w:p>
        </w:tc>
        <w:tc>
          <w:tcPr>
            <w:tcW w:w="1242" w:type="dxa"/>
            <w:vAlign w:val="top"/>
          </w:tcPr>
          <w:p>
            <w:pPr>
              <w:jc w:val="center"/>
              <w:rPr>
                <w:rFonts w:ascii="宋体"/>
                <w:b/>
                <w:color w:val="000000"/>
                <w:sz w:val="20"/>
                <w:szCs w:val="20"/>
              </w:rPr>
            </w:pPr>
            <w:r>
              <w:rPr>
                <w:rFonts w:hint="eastAsia" w:ascii="宋体"/>
                <w:b/>
                <w:color w:val="000000"/>
                <w:sz w:val="20"/>
                <w:szCs w:val="20"/>
              </w:rPr>
              <w:t>邮箱</w:t>
            </w:r>
          </w:p>
        </w:tc>
        <w:tc>
          <w:tcPr>
            <w:tcW w:w="1558" w:type="dxa"/>
            <w:vAlign w:val="top"/>
          </w:tcPr>
          <w:p>
            <w:pPr>
              <w:rPr>
                <w:rFonts w:ascii="宋体"/>
                <w:b/>
                <w:color w:val="000000"/>
                <w:sz w:val="20"/>
                <w:szCs w:val="20"/>
              </w:rPr>
            </w:pPr>
            <w:bookmarkStart w:id="12" w:name="联系人邮箱Add1"/>
            <w:bookmarkEnd w:id="12"/>
            <w:r>
              <w:rPr>
                <w:rFonts w:ascii="宋体"/>
                <w:b/>
                <w:color w:val="000000"/>
                <w:sz w:val="20"/>
                <w:szCs w:val="20"/>
              </w:rPr>
              <w:t>dabo110@163.com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r>
              <w:rPr>
                <w:rFonts w:ascii="宋体" w:hAnsi="宋体"/>
                <w:b/>
                <w:color w:val="000000"/>
                <w:sz w:val="20"/>
                <w:szCs w:val="20"/>
              </w:rPr>
              <w:t>Q：石油管道检测的技术推广服务；电子产品、仪器仪表、机械设备、金属材料的销售</w:t>
            </w:r>
          </w:p>
          <w:p>
            <w:pPr>
              <w:spacing w:line="400" w:lineRule="exact"/>
              <w:rPr>
                <w:rFonts w:ascii="宋体" w:hAnsi="宋体"/>
                <w:b/>
                <w:color w:val="000000"/>
                <w:sz w:val="20"/>
                <w:szCs w:val="20"/>
              </w:rPr>
            </w:pPr>
            <w:r>
              <w:rPr>
                <w:rFonts w:ascii="宋体" w:hAnsi="宋体"/>
                <w:b/>
                <w:color w:val="000000"/>
                <w:sz w:val="20"/>
                <w:szCs w:val="20"/>
              </w:rPr>
              <w:t>E：石油管道检测的技术推广服务；电子产品、仪器仪表、机械设备、金属材料的销售所涉及场所的相关环境管理活动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O：石油管道检测的技术推广服务；电子产品、仪器仪表、机械设备、金属材料的销售所涉及场所的相关职业健康安全管理活动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r>
              <w:rPr>
                <w:rFonts w:ascii="宋体"/>
                <w:b/>
                <w:color w:val="000000"/>
                <w:sz w:val="20"/>
                <w:szCs w:val="20"/>
              </w:rPr>
              <w:t>Q：29.12.00;34.06.00</w:t>
            </w:r>
          </w:p>
          <w:p>
            <w:pPr>
              <w:spacing w:line="280" w:lineRule="exact"/>
              <w:rPr>
                <w:rFonts w:ascii="宋体"/>
                <w:b/>
                <w:color w:val="000000"/>
                <w:sz w:val="20"/>
                <w:szCs w:val="20"/>
              </w:rPr>
            </w:pPr>
            <w:r>
              <w:rPr>
                <w:rFonts w:ascii="宋体"/>
                <w:b/>
                <w:color w:val="000000"/>
                <w:sz w:val="20"/>
                <w:szCs w:val="20"/>
              </w:rPr>
              <w:t>E：29.12.00;34.06.00</w:t>
            </w:r>
          </w:p>
          <w:p>
            <w:pPr>
              <w:spacing w:line="280" w:lineRule="exact"/>
              <w:rPr>
                <w:rFonts w:ascii="宋体"/>
                <w:b/>
                <w:color w:val="000000"/>
                <w:sz w:val="20"/>
                <w:szCs w:val="20"/>
              </w:rPr>
            </w:pPr>
            <w:r>
              <w:rPr>
                <w:rFonts w:ascii="宋体"/>
                <w:b/>
                <w:color w:val="000000"/>
                <w:sz w:val="20"/>
                <w:szCs w:val="20"/>
              </w:rPr>
              <w:t>O：29.12.00;34.06.00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rPr>
          <w:rFonts w:hint="default"/>
          <w:lang w:val="en-US" w:eastAsia="zh-CN"/>
        </w:rPr>
      </w:pPr>
      <w:r>
        <w:rPr>
          <w:rFonts w:hint="eastAsia" w:ascii="宋体" w:hAnsi="宋体"/>
          <w:b/>
          <w:color w:val="000000"/>
          <w:sz w:val="20"/>
          <w:szCs w:val="20"/>
        </w:rPr>
        <w:t>部门：</w:t>
      </w:r>
      <w:r>
        <w:rPr>
          <w:rFonts w:ascii="宋体" w:hAnsi="宋体"/>
          <w:b/>
          <w:color w:val="000000"/>
          <w:sz w:val="20"/>
          <w:szCs w:val="20"/>
          <w:u w:val="single"/>
        </w:rPr>
        <w:t xml:space="preserve"> </w:t>
      </w:r>
      <w:r>
        <w:rPr>
          <w:rFonts w:hint="eastAsia" w:ascii="宋体" w:hAnsi="宋体"/>
          <w:b/>
          <w:color w:val="000000"/>
          <w:sz w:val="20"/>
          <w:szCs w:val="20"/>
          <w:u w:val="single"/>
        </w:rPr>
        <w:t>管理层、</w:t>
      </w:r>
      <w:r>
        <w:rPr>
          <w:rFonts w:hint="default"/>
          <w:lang w:val="en-US" w:eastAsia="zh-CN"/>
        </w:rPr>
        <w:t>综合部、技术部、</w:t>
      </w:r>
    </w:p>
    <w:p>
      <w:pPr>
        <w:spacing w:line="300" w:lineRule="auto"/>
        <w:ind w:firstLine="269" w:firstLineChars="134"/>
        <w:rPr>
          <w:rFonts w:hint="default" w:ascii="宋体"/>
          <w:b/>
          <w:color w:val="000000"/>
          <w:sz w:val="20"/>
          <w:szCs w:val="20"/>
          <w:u w:val="single"/>
          <w:lang w:val="en-US"/>
        </w:rPr>
      </w:pPr>
      <w:r>
        <w:rPr>
          <w:rFonts w:hint="eastAsia" w:ascii="宋体" w:hAnsi="宋体"/>
          <w:b/>
          <w:color w:val="000000"/>
          <w:sz w:val="20"/>
          <w:szCs w:val="20"/>
        </w:rPr>
        <w:t>场所：</w:t>
      </w:r>
      <w:r>
        <w:rPr>
          <w:rFonts w:hint="eastAsia" w:ascii="宋体" w:hAnsi="宋体"/>
          <w:b/>
          <w:color w:val="000000"/>
          <w:sz w:val="20"/>
          <w:szCs w:val="20"/>
          <w:lang w:val="en-US" w:eastAsia="zh-CN"/>
        </w:rPr>
        <w:t>销售</w:t>
      </w:r>
      <w:r>
        <w:rPr>
          <w:rFonts w:hint="eastAsia" w:ascii="宋体" w:hAnsi="宋体"/>
          <w:b/>
          <w:color w:val="000000"/>
          <w:sz w:val="20"/>
          <w:szCs w:val="20"/>
          <w:u w:val="single"/>
          <w:lang w:val="en-US" w:eastAsia="zh-CN"/>
        </w:rPr>
        <w:t>场所、办公场所、技术服务场所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vAlign w:val="top"/>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vAlign w:val="top"/>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vAlign w:val="top"/>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w:char="00A8"/>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hAnsi="宋体"/>
                <w:color w:val="00000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需完善</w:t>
            </w:r>
          </w:p>
          <w:p>
            <w:pPr>
              <w:rPr>
                <w:rFonts w:ascii="宋体"/>
                <w:color w:val="000000"/>
                <w:spacing w:val="-1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vAlign w:val="top"/>
          </w:tcPr>
          <w:p>
            <w:pPr>
              <w:rPr>
                <w:rFonts w:ascii="宋体"/>
                <w:b/>
                <w:color w:val="000000"/>
                <w:spacing w:val="-10"/>
                <w:sz w:val="20"/>
                <w:szCs w:val="20"/>
              </w:rPr>
            </w:pPr>
            <w:r>
              <w:rPr>
                <w:rFonts w:hint="eastAsia" w:ascii="宋体" w:hAnsi="宋体" w:cs="宋体"/>
                <w:color w:val="000000"/>
                <w:spacing w:val="-10"/>
                <w:sz w:val="20"/>
                <w:szCs w:val="20"/>
              </w:rPr>
              <w:t>█</w:t>
            </w:r>
            <w:r>
              <w:rPr>
                <w:rFonts w:hint="eastAsia" w:ascii="宋体" w:hAnsi="宋体"/>
                <w:b/>
                <w:color w:val="000000"/>
                <w:sz w:val="20"/>
                <w:szCs w:val="20"/>
              </w:rPr>
              <w:t>是</w:t>
            </w:r>
          </w:p>
        </w:tc>
        <w:tc>
          <w:tcPr>
            <w:tcW w:w="1308" w:type="dxa"/>
            <w:gridSpan w:val="2"/>
            <w:vAlign w:val="top"/>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eastAsia="宋体" w:cs="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合理</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vAlign w:val="top"/>
          </w:tcPr>
          <w:p>
            <w:pPr>
              <w:rPr>
                <w:rFonts w:ascii="宋体"/>
                <w:color w:val="000000"/>
                <w:spacing w:val="-10"/>
                <w:sz w:val="20"/>
                <w:szCs w:val="20"/>
              </w:rPr>
            </w:pP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vAlign w:val="top"/>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2"/>
        <w:pBdr>
          <w:bottom w:val="none" w:color="auto" w:sz="0" w:space="0"/>
        </w:pBdr>
        <w:ind w:right="600"/>
        <w:jc w:val="both"/>
        <w:rPr>
          <w:color w:val="000000"/>
          <w:sz w:val="32"/>
          <w:szCs w:val="32"/>
        </w:rPr>
      </w:pPr>
    </w:p>
    <w:p>
      <w:pPr>
        <w:pStyle w:val="2"/>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spacing w:line="400" w:lineRule="exact"/>
              <w:rPr>
                <w:rFonts w:ascii="宋体"/>
                <w:b/>
                <w:color w:val="000000"/>
                <w:sz w:val="20"/>
                <w:szCs w:val="20"/>
                <w:u w:val="single"/>
              </w:rPr>
            </w:pPr>
            <w:r>
              <w:rPr>
                <w:rFonts w:hint="eastAsia" w:ascii="宋体" w:hAnsi="宋体"/>
                <w:b/>
                <w:color w:val="000000"/>
                <w:sz w:val="20"/>
                <w:szCs w:val="20"/>
              </w:rPr>
              <w:t>产品：</w:t>
            </w:r>
            <w:r>
              <w:rPr>
                <w:rFonts w:ascii="宋体" w:hAnsi="宋体"/>
                <w:b/>
                <w:color w:val="000000"/>
                <w:sz w:val="20"/>
                <w:szCs w:val="20"/>
              </w:rPr>
              <w:t>石油管道检测的技术推广服务；电子产品、仪器仪表的销售</w:t>
            </w:r>
          </w:p>
          <w:p>
            <w:pPr>
              <w:tabs>
                <w:tab w:val="left" w:pos="360"/>
              </w:tabs>
              <w:ind w:left="360" w:hanging="360"/>
              <w:rPr>
                <w:rFonts w:hint="eastAsia" w:ascii="宋体" w:eastAsia="宋体"/>
                <w:b/>
                <w:color w:val="000000"/>
                <w:sz w:val="20"/>
                <w:szCs w:val="20"/>
                <w:lang w:val="en-US" w:eastAsia="zh-CN"/>
              </w:rPr>
            </w:pPr>
          </w:p>
          <w:p>
            <w:pPr>
              <w:tabs>
                <w:tab w:val="left" w:pos="360"/>
              </w:tabs>
              <w:ind w:left="360" w:hanging="360"/>
              <w:rPr>
                <w:rFonts w:hint="default" w:ascii="宋体" w:eastAsia="宋体"/>
                <w:b/>
                <w:color w:val="000000"/>
                <w:sz w:val="20"/>
                <w:szCs w:val="20"/>
                <w:lang w:val="en-US" w:eastAsia="zh-CN"/>
              </w:rPr>
            </w:pPr>
            <w:r>
              <w:rPr>
                <w:rFonts w:hint="eastAsia" w:ascii="宋体" w:hAnsi="宋体"/>
                <w:b/>
                <w:color w:val="000000"/>
                <w:sz w:val="20"/>
                <w:szCs w:val="20"/>
              </w:rPr>
              <w:t>服务：</w:t>
            </w:r>
            <w:r>
              <w:rPr>
                <w:rFonts w:hint="eastAsia" w:ascii="宋体" w:hAnsi="宋体"/>
                <w:b/>
                <w:color w:val="000000"/>
                <w:sz w:val="20"/>
                <w:szCs w:val="20"/>
                <w:lang w:val="en-US" w:eastAsia="zh-CN"/>
              </w:rPr>
              <w:t>技术服务、销售服务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rPr>
                <w:rFonts w:ascii="宋体" w:hAnsi="宋体"/>
                <w:b/>
                <w:color w:val="000000"/>
                <w:sz w:val="20"/>
                <w:szCs w:val="20"/>
              </w:rPr>
            </w:pPr>
            <w:r>
              <w:rPr>
                <w:rFonts w:hint="eastAsia" w:ascii="宋体" w:hAnsi="宋体"/>
                <w:b/>
                <w:color w:val="000000"/>
                <w:sz w:val="20"/>
                <w:szCs w:val="20"/>
              </w:rPr>
              <w:t>公司部门设置：</w:t>
            </w:r>
            <w:r>
              <w:rPr>
                <w:rFonts w:hint="default"/>
                <w:lang w:val="en-US" w:eastAsia="zh-CN"/>
              </w:rPr>
              <w:t>综合部、技术部、财务部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管理体系推进部门：综合部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ascii="宋体" w:hAnsi="宋体"/>
                <w:b/>
                <w:color w:val="000000"/>
                <w:sz w:val="20"/>
                <w:szCs w:val="20"/>
                <w:lang w:eastAsia="zh-CN"/>
              </w:rPr>
              <w:t>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职业健康安全主管部门：综合部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hint="eastAsia" w:ascii="宋体"/>
                <w:color w:val="000000"/>
                <w:sz w:val="20"/>
                <w:szCs w:val="20"/>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pPr>
            <w:r>
              <w:rPr>
                <w:rFonts w:hint="eastAsia" w:ascii="宋体" w:hAnsi="宋体"/>
                <w:color w:val="000000"/>
                <w:sz w:val="20"/>
                <w:szCs w:val="20"/>
              </w:rPr>
              <w:t>受审核方位于：</w:t>
            </w:r>
            <w:bookmarkStart w:id="13" w:name="生产地址"/>
            <w:r>
              <w:t>北京市海淀区学清路16号学知轩18层1816</w:t>
            </w:r>
            <w:bookmarkEnd w:id="13"/>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vAlign w:val="top"/>
          </w:tcPr>
          <w:p>
            <w:pPr>
              <w:rPr>
                <w:rFonts w:ascii="宋体"/>
                <w:color w:val="000000"/>
                <w:sz w:val="20"/>
                <w:szCs w:val="20"/>
              </w:rPr>
            </w:pPr>
            <w:r>
              <w:rPr>
                <w:rFonts w:hint="eastAsia" w:ascii="宋体" w:hAnsi="宋体" w:cs="宋体"/>
                <w:color w:val="000000"/>
                <w:sz w:val="20"/>
                <w:szCs w:val="20"/>
              </w:rPr>
              <w:t>█</w:t>
            </w:r>
            <w:r>
              <w:rPr>
                <w:rFonts w:hint="eastAsia" w:ascii="宋体" w:hAnsi="宋体"/>
                <w:color w:val="000000"/>
                <w:sz w:val="20"/>
                <w:szCs w:val="20"/>
              </w:rPr>
              <w:t>是</w:t>
            </w:r>
          </w:p>
        </w:tc>
        <w:tc>
          <w:tcPr>
            <w:tcW w:w="1041" w:type="dxa"/>
            <w:vAlign w:val="top"/>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vAlign w:val="top"/>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vAlign w:val="top"/>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vAlign w:val="top"/>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vAlign w:val="top"/>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vAlign w:val="top"/>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eastAsia"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pStyle w:val="9"/>
              <w:rPr>
                <w:rFonts w:ascii="宋体" w:hAnsi="宋体"/>
                <w:spacing w:val="-10"/>
                <w:sz w:val="20"/>
                <w:szCs w:val="20"/>
              </w:rPr>
            </w:pPr>
            <w:r>
              <w:rPr>
                <w:rFonts w:hint="eastAsia" w:ascii="宋体" w:hAnsi="宋体" w:cs="宋体"/>
                <w:sz w:val="20"/>
                <w:szCs w:val="20"/>
              </w:rPr>
              <w:t>█</w:t>
            </w:r>
            <w:r>
              <w:rPr>
                <w:rFonts w:hint="eastAsia" w:ascii="宋体" w:hAnsi="宋体"/>
                <w:spacing w:val="-10"/>
                <w:sz w:val="20"/>
                <w:szCs w:val="20"/>
              </w:rPr>
              <w:t>产品技术标准号：</w:t>
            </w:r>
          </w:p>
          <w:p>
            <w:pPr>
              <w:rPr>
                <w:rFonts w:hint="eastAsia"/>
              </w:rPr>
            </w:pPr>
            <w:r>
              <w:rPr>
                <w:rFonts w:hint="eastAsia"/>
              </w:rPr>
              <w:t>GB/T 9116-2010 带颈平焊钢制管法兰</w:t>
            </w:r>
            <w:r>
              <w:rPr>
                <w:rFonts w:hint="eastAsia"/>
              </w:rPr>
              <w:tab/>
            </w:r>
            <w:r>
              <w:rPr>
                <w:rFonts w:hint="eastAsia"/>
              </w:rPr>
              <w:t>国家质监总局</w:t>
            </w:r>
          </w:p>
          <w:p>
            <w:pPr>
              <w:rPr>
                <w:rFonts w:hint="eastAsia"/>
              </w:rPr>
            </w:pPr>
            <w:r>
              <w:rPr>
                <w:rFonts w:hint="eastAsia"/>
              </w:rPr>
              <w:t>JB/T 5452.2-1991</w:t>
            </w:r>
            <w:r>
              <w:rPr>
                <w:rFonts w:hint="eastAsia"/>
                <w:lang w:val="en-US" w:eastAsia="zh-CN"/>
              </w:rPr>
              <w:t xml:space="preserve"> </w:t>
            </w:r>
            <w:r>
              <w:rPr>
                <w:rFonts w:hint="eastAsia"/>
              </w:rPr>
              <w:t>仪器仪表用电子器件产品规范</w:t>
            </w:r>
            <w:r>
              <w:rPr>
                <w:rFonts w:hint="eastAsia"/>
              </w:rPr>
              <w:tab/>
            </w:r>
            <w:r>
              <w:rPr>
                <w:rFonts w:hint="eastAsia"/>
              </w:rPr>
              <w:t>国家机械工业局</w:t>
            </w:r>
          </w:p>
          <w:p>
            <w:pPr>
              <w:rPr>
                <w:rFonts w:hint="eastAsia"/>
              </w:rPr>
            </w:pPr>
            <w:r>
              <w:rPr>
                <w:rFonts w:hint="eastAsia"/>
              </w:rPr>
              <w:t>SYT 6597-2014 油气管道内检测技术规范</w:t>
            </w:r>
            <w:r>
              <w:rPr>
                <w:rFonts w:hint="eastAsia"/>
              </w:rPr>
              <w:tab/>
            </w:r>
            <w:r>
              <w:rPr>
                <w:rFonts w:hint="eastAsia"/>
              </w:rPr>
              <w:t>国家能源局</w:t>
            </w:r>
          </w:p>
          <w:p>
            <w:pPr>
              <w:rPr>
                <w:rFonts w:hint="eastAsia"/>
              </w:rPr>
            </w:pPr>
            <w:r>
              <w:rPr>
                <w:rFonts w:hint="eastAsia"/>
              </w:rPr>
              <w:t>GJB 2610-1996 航天用不锈钢极薄壁无缝管规范</w:t>
            </w:r>
            <w:r>
              <w:rPr>
                <w:rFonts w:hint="eastAsia"/>
              </w:rPr>
              <w:tab/>
            </w:r>
            <w:r>
              <w:rPr>
                <w:rFonts w:hint="eastAsia"/>
              </w:rPr>
              <w:t>国防科委</w:t>
            </w:r>
          </w:p>
          <w:p>
            <w:pPr>
              <w:rPr>
                <w:rFonts w:hint="eastAsia"/>
              </w:rPr>
            </w:pPr>
            <w:r>
              <w:rPr>
                <w:rFonts w:hint="eastAsia"/>
              </w:rPr>
              <w:t>JJG49-2013弹性元件式精密压力表和真空表</w:t>
            </w:r>
            <w:r>
              <w:rPr>
                <w:rFonts w:hint="eastAsia"/>
              </w:rPr>
              <w:tab/>
            </w:r>
            <w:r>
              <w:rPr>
                <w:rFonts w:hint="eastAsia"/>
              </w:rPr>
              <w:t>国家质监总局</w:t>
            </w:r>
          </w:p>
          <w:p>
            <w:pPr>
              <w:rPr>
                <w:rFonts w:ascii="宋体" w:hAnsi="宋体"/>
                <w:spacing w:val="-10"/>
                <w:sz w:val="20"/>
                <w:szCs w:val="20"/>
              </w:rPr>
            </w:pPr>
            <w:r>
              <w:rPr>
                <w:rFonts w:hint="eastAsia"/>
              </w:rPr>
              <w:t>JJG 52-2013弹性元件式一般压力表、压力真空表和真空表</w:t>
            </w:r>
            <w:r>
              <w:rPr>
                <w:rFonts w:hint="eastAsia"/>
              </w:rPr>
              <w:tab/>
            </w:r>
            <w:r>
              <w:rPr>
                <w:rFonts w:hint="eastAsia"/>
              </w:rPr>
              <w:t>国家质监总局</w:t>
            </w:r>
          </w:p>
          <w:p>
            <w:pPr>
              <w:rPr>
                <w:rFonts w:ascii="宋体"/>
                <w:color w:val="000000"/>
                <w:spacing w:val="-10"/>
                <w:sz w:val="20"/>
                <w:szCs w:val="20"/>
              </w:rPr>
            </w:pPr>
            <w:r>
              <w:rPr>
                <w:rFonts w:ascii="宋体" w:hAnsi="宋体"/>
                <w:spacing w:val="-10"/>
                <w:sz w:val="20"/>
                <w:szCs w:val="20"/>
              </w:rPr>
              <w:t xml:space="preserve">             </w:t>
            </w:r>
            <w:r>
              <w:rPr>
                <w:rFonts w:hint="eastAsia" w:ascii="宋体" w:hAnsi="宋体"/>
                <w:spacing w:val="-10"/>
                <w:sz w:val="20"/>
                <w:szCs w:val="20"/>
                <w:lang w:eastAsia="zh-CN"/>
              </w:rPr>
              <w:t>☑</w:t>
            </w:r>
            <w:r>
              <w:rPr>
                <w:rFonts w:hint="eastAsia" w:ascii="宋体" w:hAnsi="宋体"/>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ascii="宋体" w:hAnsi="宋体"/>
                <w:color w:val="000000"/>
                <w:spacing w:val="-1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vAlign w:val="top"/>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环境执行标准：《环境保护法》等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vAlign w:val="top"/>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执行标准：《安全生产法》等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rPr>
            </w:pPr>
            <w:r>
              <w:rPr>
                <w:rFonts w:hint="eastAsia" w:ascii="宋体" w:hAnsi="宋体"/>
                <w:szCs w:val="21"/>
              </w:rPr>
              <w:t>石油管道检测的技术推广服务</w:t>
            </w:r>
            <w:r>
              <w:rPr>
                <w:rFonts w:hint="eastAsia" w:ascii="宋体" w:hAnsi="宋体"/>
                <w:szCs w:val="21"/>
                <w:lang w:eastAsia="zh-CN"/>
              </w:rPr>
              <w:t>：</w:t>
            </w:r>
            <w:r>
              <w:rPr>
                <w:rFonts w:hint="eastAsia"/>
              </w:rPr>
              <w:t>顾客提供需求-方案策划-客户确认-项目研制报告-交付-验收</w:t>
            </w:r>
          </w:p>
          <w:p>
            <w:pPr>
              <w:rPr>
                <w:rFonts w:hint="eastAsia" w:eastAsiaTheme="minorEastAsia"/>
                <w:lang w:val="en-US" w:eastAsia="zh-CN"/>
              </w:rPr>
            </w:pPr>
            <w:r>
              <w:rPr>
                <w:rFonts w:hint="eastAsia"/>
              </w:rPr>
              <w:t>电子产品、仪器仪表的销售</w:t>
            </w:r>
            <w:r>
              <w:rPr>
                <w:rFonts w:hint="eastAsia"/>
                <w:lang w:val="en-US" w:eastAsia="zh-CN"/>
              </w:rPr>
              <w:t>流程：客户接触----合同评审----签订合同-----客户付款------入帐------采购-----客户提货-----验收</w:t>
            </w:r>
          </w:p>
          <w:p>
            <w:pPr>
              <w:rPr>
                <w:rFonts w:hint="default" w:eastAsiaTheme="minorEastAsia"/>
                <w:lang w:val="en-US" w:eastAsia="zh-CN"/>
              </w:rPr>
            </w:pPr>
            <w:r>
              <w:rPr>
                <w:rFonts w:hint="eastAsia"/>
                <w:lang w:val="en-US" w:eastAsia="zh-CN"/>
              </w:rPr>
              <w:t>关键过程：</w:t>
            </w:r>
            <w:r>
              <w:rPr>
                <w:rFonts w:hint="eastAsia" w:ascii="宋体" w:hAnsi="宋体"/>
                <w:szCs w:val="21"/>
              </w:rPr>
              <w:t>技术推广服务</w:t>
            </w:r>
            <w:r>
              <w:rPr>
                <w:rFonts w:hint="eastAsia" w:ascii="宋体" w:hAnsi="宋体"/>
                <w:szCs w:val="21"/>
                <w:lang w:val="en-US" w:eastAsia="zh-CN"/>
              </w:rPr>
              <w:t xml:space="preserve">过程   </w:t>
            </w:r>
          </w:p>
          <w:p>
            <w:pPr>
              <w:rPr>
                <w:rFonts w:hint="default" w:eastAsiaTheme="minorEastAsia"/>
                <w:lang w:val="en-US" w:eastAsia="zh-CN"/>
              </w:rPr>
            </w:pPr>
            <w:r>
              <w:rPr>
                <w:rFonts w:hint="eastAsia"/>
                <w:lang w:val="en-US" w:eastAsia="zh-CN"/>
              </w:rPr>
              <w:t>特殊过程：销售过程</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ascii="宋体" w:hAnsi="宋体"/>
                <w:szCs w:val="21"/>
              </w:rPr>
              <w:t>技术推广服务</w:t>
            </w:r>
            <w:r>
              <w:rPr>
                <w:rFonts w:hint="eastAsia" w:ascii="宋体" w:hAnsi="宋体"/>
                <w:szCs w:val="21"/>
                <w:lang w:val="en-US" w:eastAsia="zh-CN"/>
              </w:rPr>
              <w:t xml:space="preserve">过程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r>
              <w:rPr>
                <w:rFonts w:hint="eastAsia" w:ascii="宋体" w:hAnsi="宋体"/>
                <w:szCs w:val="21"/>
              </w:rPr>
              <w:t>技术推广服务</w:t>
            </w:r>
            <w:r>
              <w:rPr>
                <w:rFonts w:hint="eastAsia" w:ascii="宋体" w:hAnsi="宋体"/>
                <w:szCs w:val="21"/>
                <w:lang w:val="en-US" w:eastAsia="zh-CN"/>
              </w:rPr>
              <w:t xml:space="preserve">过程 </w:t>
            </w:r>
            <w:r>
              <w:rPr>
                <w:rFonts w:hint="eastAsia" w:ascii="宋体" w:hAnsi="宋体"/>
                <w:b/>
                <w:bCs/>
              </w:rPr>
              <w:t>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bCs/>
                <w:szCs w:val="22"/>
                <w:lang w:val="en-US"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vAlign w:val="top"/>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vAlign w:val="top"/>
          </w:tcPr>
          <w:p>
            <w:pPr>
              <w:rPr>
                <w:rFonts w:ascii="宋体"/>
                <w:color w:val="000000"/>
                <w:spacing w:val="-10"/>
                <w:sz w:val="20"/>
                <w:szCs w:val="20"/>
              </w:rPr>
            </w:pPr>
            <w:r>
              <w:rPr>
                <w:rFonts w:hint="eastAsia" w:ascii="宋体" w:hAnsi="宋体"/>
                <w:color w:val="000000"/>
                <w:sz w:val="20"/>
                <w:szCs w:val="20"/>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vAlign w:val="top"/>
          </w:tcPr>
          <w:p>
            <w:pPr>
              <w:rPr>
                <w:rFonts w:hint="eastAsia" w:ascii="宋体" w:hAnsi="宋体"/>
                <w:color w:val="000000"/>
                <w:spacing w:val="-10"/>
                <w:szCs w:val="21"/>
                <w:lang w:val="en-US" w:eastAsia="zh-CN"/>
              </w:rPr>
            </w:pPr>
            <w:r>
              <w:rPr>
                <w:rFonts w:hint="eastAsia" w:ascii="宋体" w:hAnsi="宋体"/>
                <w:color w:val="000000"/>
                <w:spacing w:val="-10"/>
                <w:sz w:val="20"/>
                <w:szCs w:val="20"/>
              </w:rPr>
              <w:t>主要设备：</w:t>
            </w:r>
            <w:r>
              <w:rPr>
                <w:rFonts w:hint="eastAsia" w:ascii="宋体" w:hAnsi="宋体"/>
                <w:color w:val="000000"/>
                <w:spacing w:val="-10"/>
                <w:szCs w:val="21"/>
              </w:rPr>
              <w:t>电脑、打印机、复印件、传真件、扫描仪</w:t>
            </w:r>
            <w:r>
              <w:rPr>
                <w:rFonts w:hint="eastAsia" w:ascii="宋体" w:hAnsi="宋体"/>
                <w:color w:val="000000"/>
                <w:spacing w:val="-10"/>
                <w:szCs w:val="21"/>
                <w:lang w:val="en-US" w:eastAsia="zh-CN"/>
              </w:rPr>
              <w:t xml:space="preserve">  HP PC</w:t>
            </w:r>
            <w:r>
              <w:rPr>
                <w:rFonts w:hint="eastAsia" w:ascii="宋体" w:hAnsi="宋体"/>
                <w:color w:val="000000"/>
                <w:spacing w:val="-10"/>
                <w:szCs w:val="21"/>
                <w:lang w:val="en-US" w:eastAsia="zh-CN"/>
              </w:rPr>
              <w:tab/>
            </w:r>
            <w:r>
              <w:rPr>
                <w:rFonts w:hint="eastAsia" w:ascii="宋体" w:hAnsi="宋体"/>
                <w:color w:val="000000"/>
                <w:spacing w:val="-10"/>
                <w:szCs w:val="21"/>
                <w:lang w:val="en-US" w:eastAsia="zh-CN"/>
              </w:rPr>
              <w:t>Pavilion 550-259cn</w:t>
            </w:r>
            <w:r>
              <w:rPr>
                <w:rFonts w:hint="eastAsia" w:ascii="宋体" w:hAnsi="宋体"/>
                <w:color w:val="000000"/>
                <w:spacing w:val="-10"/>
                <w:szCs w:val="21"/>
                <w:lang w:val="en-US" w:eastAsia="zh-CN"/>
              </w:rPr>
              <w:tab/>
            </w:r>
          </w:p>
          <w:p>
            <w:pPr>
              <w:rPr>
                <w:rFonts w:ascii="宋体"/>
                <w:color w:val="000000"/>
                <w:spacing w:val="-10"/>
                <w:sz w:val="20"/>
                <w:szCs w:val="20"/>
              </w:rPr>
            </w:pPr>
            <w:r>
              <w:rPr>
                <w:rFonts w:hint="eastAsia" w:ascii="宋体" w:hAnsi="宋体"/>
                <w:color w:val="000000"/>
                <w:spacing w:val="-10"/>
                <w:szCs w:val="21"/>
                <w:lang w:val="en-US" w:eastAsia="zh-CN"/>
              </w:rPr>
              <w:t>火狐浏览器、</w:t>
            </w:r>
            <w:r>
              <w:rPr>
                <w:rFonts w:hint="eastAsia" w:ascii="宋体" w:hAnsi="宋体"/>
                <w:color w:val="000000"/>
                <w:spacing w:val="-10"/>
                <w:szCs w:val="21"/>
                <w:lang w:val="en-US" w:eastAsia="zh-CN"/>
              </w:rPr>
              <w:tab/>
            </w:r>
            <w:r>
              <w:rPr>
                <w:rFonts w:hint="eastAsia" w:ascii="宋体" w:hAnsi="宋体"/>
                <w:color w:val="000000"/>
                <w:spacing w:val="-10"/>
                <w:szCs w:val="21"/>
                <w:lang w:val="en-US" w:eastAsia="zh-CN"/>
              </w:rPr>
              <w:t>Unity webplayer</w:t>
            </w:r>
            <w:r>
              <w:rPr>
                <w:rFonts w:hint="eastAsia" w:ascii="宋体" w:hAnsi="宋体"/>
                <w:color w:val="000000"/>
                <w:spacing w:val="-10"/>
                <w:szCs w:val="21"/>
                <w:lang w:val="en-US" w:eastAsia="zh-CN"/>
              </w:rPr>
              <w:tab/>
            </w:r>
            <w:r>
              <w:rPr>
                <w:rFonts w:hint="eastAsia" w:ascii="宋体" w:hAnsi="宋体"/>
                <w:color w:val="000000"/>
                <w:spacing w:val="-10"/>
                <w:szCs w:val="21"/>
                <w:lang w:val="en-US" w:eastAsia="zh-CN"/>
              </w:rPr>
              <w:t xml:space="preserve">5.0.1、Lenovo </w:t>
            </w:r>
            <w:r>
              <w:rPr>
                <w:rFonts w:hint="eastAsia" w:ascii="宋体" w:hAnsi="宋体"/>
                <w:color w:val="000000"/>
                <w:spacing w:val="-10"/>
                <w:szCs w:val="21"/>
                <w:lang w:val="en-US" w:eastAsia="zh-CN"/>
              </w:rPr>
              <w:tab/>
            </w:r>
            <w:r>
              <w:rPr>
                <w:rFonts w:hint="eastAsia" w:ascii="宋体" w:hAnsi="宋体"/>
                <w:color w:val="000000"/>
                <w:spacing w:val="-10"/>
                <w:szCs w:val="21"/>
                <w:lang w:val="en-US" w:eastAsia="zh-CN"/>
              </w:rPr>
              <w:t>Z460</w:t>
            </w:r>
            <w:r>
              <w:rPr>
                <w:rFonts w:hint="eastAsia" w:ascii="宋体" w:hAnsi="宋体"/>
                <w:color w:val="000000"/>
                <w:spacing w:val="-10"/>
                <w:szCs w:val="21"/>
                <w:lang w:val="en-US" w:eastAsia="zh-CN"/>
              </w:rPr>
              <w:tab/>
            </w:r>
            <w:r>
              <w:rPr>
                <w:rFonts w:hint="eastAsia" w:ascii="宋体" w:hAnsi="宋体"/>
                <w:color w:val="000000"/>
                <w:spacing w:val="-10"/>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sz w:val="20"/>
                <w:szCs w:val="20"/>
              </w:rPr>
              <w:t>设备是否满足要求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color w:val="000000"/>
                <w:sz w:val="20"/>
                <w:szCs w:val="20"/>
              </w:rPr>
            </w:pPr>
            <w:r>
              <w:rPr>
                <w:rFonts w:hint="eastAsia" w:ascii="宋体" w:hAnsi="宋体"/>
                <w:color w:val="000000"/>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hAnsi="宋体"/>
                <w:color w:val="000000"/>
                <w:spacing w:val="-10"/>
                <w:szCs w:val="21"/>
                <w:lang w:val="en-US" w:eastAsia="zh-CN"/>
              </w:rPr>
            </w:pPr>
            <w:r>
              <w:rPr>
                <w:rFonts w:hint="eastAsia" w:ascii="宋体"/>
                <w:color w:val="000000"/>
                <w:sz w:val="20"/>
                <w:szCs w:val="20"/>
              </w:rPr>
              <w:t>监视和测量设备（请简述主要监视和测量设备）：</w:t>
            </w:r>
            <w:r>
              <w:rPr>
                <w:rFonts w:hint="eastAsia" w:ascii="宋体" w:hAnsi="宋体"/>
                <w:color w:val="000000"/>
                <w:spacing w:val="-10"/>
                <w:szCs w:val="21"/>
                <w:lang w:val="en-US" w:eastAsia="zh-CN"/>
              </w:rPr>
              <w:t>HP PC</w:t>
            </w:r>
            <w:r>
              <w:rPr>
                <w:rFonts w:hint="eastAsia" w:ascii="宋体" w:hAnsi="宋体"/>
                <w:color w:val="000000"/>
                <w:spacing w:val="-10"/>
                <w:szCs w:val="21"/>
                <w:lang w:val="en-US" w:eastAsia="zh-CN"/>
              </w:rPr>
              <w:tab/>
            </w:r>
            <w:r>
              <w:rPr>
                <w:rFonts w:hint="eastAsia" w:ascii="宋体" w:hAnsi="宋体"/>
                <w:color w:val="000000"/>
                <w:spacing w:val="-10"/>
                <w:szCs w:val="21"/>
                <w:lang w:val="en-US" w:eastAsia="zh-CN"/>
              </w:rPr>
              <w:t>Pavilion 550-259cn</w:t>
            </w:r>
            <w:r>
              <w:rPr>
                <w:rFonts w:hint="eastAsia" w:ascii="宋体" w:hAnsi="宋体"/>
                <w:color w:val="000000"/>
                <w:spacing w:val="-10"/>
                <w:szCs w:val="21"/>
                <w:lang w:val="en-US" w:eastAsia="zh-CN"/>
              </w:rPr>
              <w:tab/>
            </w:r>
          </w:p>
          <w:p>
            <w:pPr>
              <w:rPr>
                <w:rFonts w:ascii="宋体"/>
                <w:color w:val="000000"/>
                <w:sz w:val="20"/>
                <w:szCs w:val="20"/>
              </w:rPr>
            </w:pPr>
            <w:r>
              <w:rPr>
                <w:rFonts w:hint="eastAsia" w:ascii="宋体" w:hAnsi="宋体"/>
                <w:color w:val="000000"/>
                <w:spacing w:val="-10"/>
                <w:szCs w:val="21"/>
                <w:lang w:val="en-US" w:eastAsia="zh-CN"/>
              </w:rPr>
              <w:t>火狐浏览器、</w:t>
            </w:r>
            <w:r>
              <w:rPr>
                <w:rFonts w:hint="eastAsia" w:ascii="宋体" w:hAnsi="宋体"/>
                <w:color w:val="000000"/>
                <w:spacing w:val="-10"/>
                <w:szCs w:val="21"/>
                <w:lang w:val="en-US" w:eastAsia="zh-CN"/>
              </w:rPr>
              <w:tab/>
            </w:r>
            <w:r>
              <w:rPr>
                <w:rFonts w:hint="eastAsia" w:ascii="宋体" w:hAnsi="宋体"/>
                <w:color w:val="000000"/>
                <w:spacing w:val="-10"/>
                <w:szCs w:val="21"/>
                <w:lang w:val="en-US" w:eastAsia="zh-CN"/>
              </w:rPr>
              <w:t>Unity webplayer</w:t>
            </w:r>
            <w:r>
              <w:rPr>
                <w:rFonts w:hint="eastAsia" w:ascii="宋体" w:hAnsi="宋体"/>
                <w:color w:val="000000"/>
                <w:spacing w:val="-10"/>
                <w:szCs w:val="21"/>
                <w:lang w:val="en-US" w:eastAsia="zh-CN"/>
              </w:rPr>
              <w:tab/>
            </w:r>
            <w:r>
              <w:rPr>
                <w:rFonts w:hint="eastAsia" w:ascii="宋体" w:hAnsi="宋体"/>
                <w:color w:val="000000"/>
                <w:spacing w:val="-10"/>
                <w:szCs w:val="21"/>
                <w:lang w:val="en-US" w:eastAsia="zh-CN"/>
              </w:rPr>
              <w:t xml:space="preserve">5.0.1、Lenovo </w:t>
            </w:r>
            <w:r>
              <w:rPr>
                <w:rFonts w:hint="eastAsia" w:ascii="宋体" w:hAnsi="宋体"/>
                <w:color w:val="000000"/>
                <w:spacing w:val="-10"/>
                <w:szCs w:val="21"/>
                <w:lang w:val="en-US" w:eastAsia="zh-CN"/>
              </w:rPr>
              <w:tab/>
            </w:r>
            <w:r>
              <w:rPr>
                <w:rFonts w:hint="eastAsia" w:ascii="宋体" w:hAnsi="宋体"/>
                <w:color w:val="000000"/>
                <w:spacing w:val="-10"/>
                <w:szCs w:val="21"/>
                <w:lang w:val="en-US" w:eastAsia="zh-CN"/>
              </w:rPr>
              <w:t>Z460</w:t>
            </w:r>
            <w:r>
              <w:rPr>
                <w:rFonts w:hint="eastAsia" w:ascii="宋体" w:hAnsi="宋体"/>
                <w:color w:val="000000"/>
                <w:spacing w:val="-10"/>
                <w:szCs w:val="21"/>
                <w:lang w:val="en-US" w:eastAsia="zh-CN"/>
              </w:rPr>
              <w:tab/>
            </w:r>
            <w:r>
              <w:rPr>
                <w:rFonts w:hint="eastAsia" w:ascii="宋体" w:hAnsi="宋体"/>
                <w:color w:val="000000"/>
                <w:spacing w:val="-10"/>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工作环境干净，阳光充足，综合部内配备有灭火器消防器材，同时公司配备了办公所需的相应的电脑、电话、打印机、传真机等设施，能满足</w:t>
            </w:r>
            <w:r>
              <w:rPr>
                <w:rFonts w:hint="eastAsia" w:ascii="宋体" w:hAnsi="宋体"/>
                <w:szCs w:val="21"/>
              </w:rPr>
              <w:t>石油管道检测的技术推广服务；电子产品、仪器仪表</w:t>
            </w:r>
            <w:r>
              <w:rPr>
                <w:rFonts w:hint="eastAsia" w:ascii="宋体"/>
                <w:color w:val="000000"/>
                <w:sz w:val="20"/>
                <w:szCs w:val="20"/>
              </w:rPr>
              <w:t>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重要环境因素有：</w:t>
            </w:r>
            <w:r>
              <w:rPr>
                <w:rFonts w:hint="eastAsia"/>
                <w:szCs w:val="21"/>
              </w:rPr>
              <w:t>固废排放、意外火灾的发生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hAnsi="宋体"/>
                <w:b/>
                <w:color w:val="000000"/>
                <w:szCs w:val="21"/>
              </w:rPr>
              <w:t>制定了环境运行控制程序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针对重要环境因素是否明确了监视和测量的要求：明确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应急预案有：火灾应急预案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不可接受风险有：</w:t>
            </w:r>
            <w:r>
              <w:rPr>
                <w:rFonts w:hint="eastAsia"/>
                <w:szCs w:val="21"/>
              </w:rPr>
              <w:t>火灾、</w:t>
            </w:r>
            <w:r>
              <w:rPr>
                <w:rFonts w:hint="eastAsia"/>
                <w:szCs w:val="21"/>
                <w:lang w:val="en-US" w:eastAsia="zh-CN"/>
              </w:rPr>
              <w:t>触电、</w:t>
            </w:r>
            <w:r>
              <w:rPr>
                <w:rFonts w:hint="eastAsia"/>
                <w:szCs w:val="21"/>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szCs w:val="21"/>
              </w:rPr>
              <w:t>《危险源辩识、风险评价和风险控制策划程序》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针对不可接受风险是否明确了监视和测量的要求：明确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12</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eastAsia="宋体" w:cs="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技术部</w:t>
            </w:r>
            <w:r>
              <w:rPr>
                <w:rFonts w:hint="eastAsia" w:ascii="宋体" w:hAnsi="宋体"/>
                <w:b/>
                <w:color w:val="000000"/>
                <w:sz w:val="20"/>
                <w:szCs w:val="20"/>
              </w:rPr>
              <w:t>、综合部</w:t>
            </w:r>
          </w:p>
          <w:p>
            <w:pPr>
              <w:spacing w:line="360" w:lineRule="auto"/>
              <w:rPr>
                <w:rFonts w:hint="default" w:ascii="宋体"/>
                <w:b/>
                <w:color w:val="000000"/>
                <w:sz w:val="20"/>
                <w:szCs w:val="20"/>
                <w:lang w:val="en-US"/>
              </w:rPr>
            </w:pPr>
            <w:r>
              <w:rPr>
                <w:rFonts w:hint="eastAsia" w:ascii="宋体" w:hAnsi="宋体"/>
                <w:b/>
                <w:color w:val="000000"/>
                <w:sz w:val="20"/>
                <w:szCs w:val="20"/>
              </w:rPr>
              <w:t>重点审核过程：</w:t>
            </w:r>
            <w:r>
              <w:rPr>
                <w:rFonts w:hint="eastAsia" w:ascii="宋体" w:hAnsi="宋体"/>
                <w:szCs w:val="21"/>
              </w:rPr>
              <w:t>技术推广服务</w:t>
            </w:r>
            <w:r>
              <w:rPr>
                <w:rFonts w:hint="eastAsia" w:ascii="宋体" w:hAnsi="宋体"/>
                <w:szCs w:val="21"/>
                <w:lang w:val="en-US" w:eastAsia="zh-CN"/>
              </w:rPr>
              <w:t>过程</w:t>
            </w:r>
            <w:r>
              <w:rPr>
                <w:rFonts w:hint="eastAsia"/>
                <w:bCs/>
                <w:lang w:val="en-US" w:eastAsia="zh-CN"/>
              </w:rPr>
              <w:t>、销售过程</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szCs w:val="21"/>
              </w:rPr>
              <w:t>技术推广服务</w:t>
            </w:r>
            <w:r>
              <w:rPr>
                <w:rFonts w:hint="eastAsia" w:ascii="宋体" w:hAnsi="宋体"/>
                <w:b/>
                <w:color w:val="000000"/>
                <w:sz w:val="20"/>
                <w:szCs w:val="20"/>
              </w:rPr>
              <w:t>场所</w:t>
            </w:r>
            <w:r>
              <w:rPr>
                <w:rFonts w:hint="eastAsia" w:ascii="宋体" w:hAnsi="宋体"/>
                <w:b/>
                <w:color w:val="000000"/>
                <w:sz w:val="20"/>
                <w:szCs w:val="20"/>
                <w:lang w:eastAsia="zh-CN"/>
              </w:rPr>
              <w:t>、</w:t>
            </w:r>
            <w:r>
              <w:rPr>
                <w:rFonts w:hint="eastAsia"/>
                <w:bCs/>
                <w:lang w:val="en-US" w:eastAsia="zh-CN"/>
              </w:rPr>
              <w:t>销售</w:t>
            </w:r>
            <w:r>
              <w:rPr>
                <w:rFonts w:hint="eastAsia" w:ascii="宋体" w:hAnsi="宋体"/>
                <w:b/>
                <w:color w:val="000000"/>
                <w:sz w:val="20"/>
                <w:szCs w:val="20"/>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技术部</w:t>
            </w:r>
            <w:r>
              <w:rPr>
                <w:rFonts w:hint="eastAsia" w:ascii="宋体" w:hAnsi="宋体"/>
                <w:b/>
                <w:color w:val="000000"/>
                <w:sz w:val="20"/>
                <w:szCs w:val="20"/>
              </w:rPr>
              <w:t>、综合部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szCs w:val="21"/>
              </w:rPr>
              <w:t>技术推广服务</w:t>
            </w:r>
            <w:r>
              <w:rPr>
                <w:rFonts w:hint="eastAsia" w:ascii="宋体" w:hAnsi="宋体"/>
                <w:b/>
                <w:color w:val="000000"/>
                <w:sz w:val="20"/>
                <w:szCs w:val="20"/>
              </w:rPr>
              <w:t>场所</w:t>
            </w:r>
            <w:r>
              <w:rPr>
                <w:rFonts w:hint="eastAsia" w:ascii="宋体" w:hAnsi="宋体"/>
                <w:b/>
                <w:color w:val="000000"/>
                <w:sz w:val="20"/>
                <w:szCs w:val="20"/>
                <w:lang w:eastAsia="zh-CN"/>
              </w:rPr>
              <w:t>、</w:t>
            </w:r>
            <w:r>
              <w:rPr>
                <w:rFonts w:hint="eastAsia"/>
                <w:bCs/>
                <w:lang w:val="en-US" w:eastAsia="zh-CN"/>
              </w:rPr>
              <w:t>销售</w:t>
            </w:r>
            <w:r>
              <w:rPr>
                <w:rFonts w:hint="eastAsia" w:ascii="宋体" w:hAnsi="宋体"/>
                <w:b/>
                <w:color w:val="000000"/>
                <w:sz w:val="20"/>
                <w:szCs w:val="20"/>
              </w:rPr>
              <w:t>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技术部</w:t>
            </w:r>
            <w:r>
              <w:rPr>
                <w:rFonts w:hint="eastAsia" w:ascii="宋体" w:hAnsi="宋体"/>
                <w:b/>
                <w:color w:val="000000"/>
                <w:sz w:val="20"/>
                <w:szCs w:val="20"/>
              </w:rPr>
              <w:t>、综合部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szCs w:val="21"/>
              </w:rPr>
              <w:t>技术推广服务</w:t>
            </w:r>
            <w:r>
              <w:rPr>
                <w:rFonts w:hint="eastAsia" w:ascii="宋体" w:hAnsi="宋体"/>
                <w:b/>
                <w:color w:val="000000"/>
                <w:sz w:val="20"/>
                <w:szCs w:val="20"/>
              </w:rPr>
              <w:t>场所</w:t>
            </w:r>
            <w:r>
              <w:rPr>
                <w:rFonts w:hint="eastAsia" w:ascii="宋体" w:hAnsi="宋体"/>
                <w:b/>
                <w:color w:val="000000"/>
                <w:sz w:val="20"/>
                <w:szCs w:val="20"/>
                <w:lang w:eastAsia="zh-CN"/>
              </w:rPr>
              <w:t>、</w:t>
            </w:r>
            <w:r>
              <w:rPr>
                <w:rFonts w:hint="eastAsia"/>
                <w:bCs/>
                <w:lang w:val="en-US" w:eastAsia="zh-CN"/>
              </w:rPr>
              <w:t>销售</w:t>
            </w:r>
            <w:r>
              <w:rPr>
                <w:rFonts w:hint="eastAsia" w:ascii="宋体" w:hAnsi="宋体"/>
                <w:b/>
                <w:color w:val="000000"/>
                <w:sz w:val="20"/>
                <w:szCs w:val="20"/>
              </w:rPr>
              <w:t>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rPr>
                <w:rFonts w:hint="eastAsia" w:ascii="宋体" w:hAnsi="宋体" w:eastAsia="宋体" w:cs="宋体"/>
                <w:color w:val="000000"/>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eastAsia="宋体" w:cs="宋体"/>
                <w:color w:val="000000"/>
                <w:szCs w:val="21"/>
              </w:rPr>
              <w:t>审核组组长：</w:t>
            </w:r>
            <w:r>
              <w:rPr>
                <w:rFonts w:hint="eastAsia"/>
              </w:rPr>
              <w:t>杨云博</w:t>
            </w:r>
            <w:r>
              <w:rPr>
                <w:rFonts w:hint="eastAsia" w:ascii="宋体" w:hAnsi="宋体" w:eastAsia="宋体" w:cs="宋体"/>
                <w:color w:val="000000"/>
                <w:szCs w:val="21"/>
              </w:rPr>
              <w:t xml:space="preserve">           </w:t>
            </w:r>
          </w:p>
          <w:p>
            <w:pPr>
              <w:tabs>
                <w:tab w:val="left" w:pos="3330"/>
              </w:tabs>
              <w:rPr>
                <w:rFonts w:hint="eastAsia" w:ascii="宋体" w:hAnsi="宋体" w:eastAsia="宋体" w:cs="宋体"/>
                <w:color w:val="000000"/>
                <w:szCs w:val="21"/>
              </w:rPr>
            </w:pPr>
            <w:r>
              <w:rPr>
                <w:rFonts w:hint="eastAsia" w:ascii="宋体" w:hAnsi="宋体" w:eastAsia="宋体" w:cs="宋体"/>
                <w:color w:val="000000"/>
                <w:szCs w:val="21"/>
              </w:rPr>
              <w:t>组员：</w:t>
            </w:r>
            <w:r>
              <w:rPr>
                <w:rFonts w:hint="eastAsia"/>
              </w:rPr>
              <w:t>耿敬攀</w:t>
            </w:r>
          </w:p>
          <w:p>
            <w:pPr>
              <w:spacing w:line="260" w:lineRule="exact"/>
              <w:rPr>
                <w:rFonts w:hint="eastAsia" w:ascii="宋体" w:eastAsia="宋体"/>
                <w:b/>
                <w:color w:val="000000"/>
                <w:sz w:val="20"/>
                <w:szCs w:val="20"/>
                <w:lang w:eastAsia="zh-CN"/>
              </w:rPr>
            </w:pPr>
            <w:r>
              <w:rPr>
                <w:rFonts w:hint="eastAsia" w:ascii="宋体" w:hAnsi="宋体" w:cs="宋体"/>
                <w:color w:val="000000"/>
                <w:szCs w:val="21"/>
                <w:lang w:val="en-US" w:eastAsia="zh-CN"/>
              </w:rPr>
              <w:t>内审时间：</w:t>
            </w:r>
            <w:r>
              <w:rPr>
                <w:rFonts w:hint="eastAsia"/>
              </w:rPr>
              <w:t>2020年8月10日</w:t>
            </w:r>
            <w:r>
              <w:rPr>
                <w:rFonts w:hint="eastAsia"/>
                <w:lang w:val="en-US" w:eastAsia="zh-CN"/>
              </w:rPr>
              <w:t xml:space="preserve"> </w:t>
            </w:r>
            <w:r>
              <w:rPr>
                <w:rFonts w:hint="eastAsia" w:ascii="宋体" w:hAnsi="宋体" w:eastAsia="宋体" w:cs="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pPr>
            <w:r>
              <w:rPr>
                <w:rFonts w:hint="eastAsia"/>
                <w:b/>
                <w:bCs/>
              </w:rPr>
              <w:t>了解内审是否覆盖了管理体系范围内的活动及标准的要求</w:t>
            </w:r>
            <w:r>
              <w:rPr>
                <w:b/>
                <w:bCs/>
              </w:rPr>
              <w:t>;</w:t>
            </w:r>
            <w:r>
              <w:t xml:space="preserve"> </w:t>
            </w:r>
          </w:p>
          <w:p>
            <w:pPr>
              <w:pStyle w:val="9"/>
              <w:rPr>
                <w:rFonts w:ascii="宋体"/>
                <w:b/>
                <w:color w:val="000000"/>
                <w:sz w:val="20"/>
                <w:szCs w:val="20"/>
              </w:rPr>
            </w:pPr>
            <w:r>
              <w:rPr>
                <w:rFonts w:hint="eastAsia" w:ascii="宋体" w:hAnsi="宋体"/>
                <w:color w:val="000000"/>
                <w:sz w:val="20"/>
                <w:szCs w:val="20"/>
              </w:rPr>
              <w:t>能覆盖管理体系范围内的活动及标准的要求。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ascii="宋体" w:hAnsi="宋体"/>
                <w:bCs/>
                <w:szCs w:val="21"/>
              </w:rPr>
            </w:pPr>
            <w:r>
              <w:rPr>
                <w:rFonts w:hint="eastAsia" w:ascii="宋体" w:hAnsi="宋体"/>
                <w:bCs/>
                <w:szCs w:val="21"/>
              </w:rPr>
              <w:t>质量、环境和职业健康安全管理体系在此次内部审核范围内，基本符合</w:t>
            </w:r>
            <w:r>
              <w:rPr>
                <w:rFonts w:ascii="宋体" w:hAnsi="宋体" w:cs="宋体"/>
                <w:color w:val="000000"/>
                <w:kern w:val="0"/>
                <w:u w:val="single"/>
              </w:rPr>
              <w:t>ISO9001:20</w:t>
            </w:r>
            <w:r>
              <w:rPr>
                <w:rFonts w:hint="eastAsia" w:ascii="宋体" w:hAnsi="宋体" w:cs="宋体"/>
                <w:color w:val="000000"/>
                <w:kern w:val="0"/>
                <w:u w:val="single"/>
              </w:rPr>
              <w:t>15</w:t>
            </w:r>
            <w:r>
              <w:rPr>
                <w:rFonts w:ascii="宋体" w:hAnsi="宋体" w:cs="宋体"/>
                <w:color w:val="000000"/>
                <w:kern w:val="0"/>
                <w:u w:val="single"/>
              </w:rPr>
              <w:t xml:space="preserve"> 标准;ISO14001:20</w:t>
            </w:r>
            <w:r>
              <w:rPr>
                <w:rFonts w:hint="eastAsia" w:ascii="宋体" w:hAnsi="宋体" w:cs="宋体"/>
                <w:color w:val="000000"/>
                <w:kern w:val="0"/>
                <w:u w:val="single"/>
              </w:rPr>
              <w:t>15</w:t>
            </w:r>
            <w:r>
              <w:rPr>
                <w:rFonts w:ascii="宋体" w:hAnsi="宋体" w:cs="宋体"/>
                <w:color w:val="000000"/>
                <w:kern w:val="0"/>
                <w:u w:val="single"/>
              </w:rPr>
              <w:t>标准;</w:t>
            </w:r>
            <w:r>
              <w:rPr>
                <w:rFonts w:hint="eastAsia" w:ascii="宋体" w:hAnsi="宋体"/>
                <w:bCs/>
                <w:szCs w:val="21"/>
              </w:rPr>
              <w:t>\</w:t>
            </w:r>
            <w:r>
              <w:rPr>
                <w:rFonts w:ascii="宋体" w:hAnsi="宋体"/>
                <w:bCs/>
                <w:szCs w:val="21"/>
              </w:rPr>
              <w:t>ISO45001:2018</w:t>
            </w:r>
            <w:r>
              <w:rPr>
                <w:rFonts w:hint="eastAsia" w:ascii="宋体" w:hAnsi="宋体"/>
                <w:bCs/>
                <w:szCs w:val="21"/>
              </w:rPr>
              <w:t>标准并能得到基本有效的实施，已初步具有防止不符合、满足顾客、相关方要求与法律法规要求的能力，初步具有持续改进的机制。总之，本公司质量、环境和职业健康安全管理体运行基本上是有效的。</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szCs w:val="21"/>
              </w:rPr>
              <w:t>制定了管理评审计划，于</w:t>
            </w:r>
            <w:r>
              <w:rPr>
                <w:rFonts w:hint="eastAsia"/>
                <w:lang w:val="en-US" w:eastAsia="zh-CN"/>
              </w:rPr>
              <w:t>2020年8月20日</w:t>
            </w:r>
            <w:r>
              <w:rPr>
                <w:rFonts w:hint="eastAsia" w:ascii="宋体" w:hAnsi="宋体"/>
                <w:bCs/>
                <w:szCs w:val="21"/>
              </w:rP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color w:val="000000"/>
                <w:szCs w:val="21"/>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p>
            <w:pPr>
              <w:spacing w:line="260" w:lineRule="exact"/>
              <w:rPr>
                <w:rFonts w:ascii="宋体" w:hAnsi="宋体"/>
                <w:bCs/>
                <w:color w:val="000000"/>
                <w:szCs w:val="21"/>
              </w:rPr>
            </w:pPr>
            <w:r>
              <w:rPr>
                <w:rFonts w:hint="eastAsia" w:ascii="宋体" w:hAnsi="宋体"/>
                <w:bCs/>
                <w:color w:val="000000"/>
                <w:szCs w:val="21"/>
              </w:rPr>
              <w:t>认为体系运行基本正常，符合法律法规及其他要求。</w:t>
            </w:r>
          </w:p>
          <w:p>
            <w:pPr>
              <w:spacing w:line="260" w:lineRule="exact"/>
              <w:rPr>
                <w:rFonts w:ascii="宋体" w:hAnsi="宋体"/>
                <w:bCs/>
                <w:color w:val="000000"/>
                <w:szCs w:val="21"/>
              </w:rPr>
            </w:pPr>
            <w:r>
              <w:rPr>
                <w:rFonts w:hint="eastAsia" w:ascii="宋体" w:hAnsi="宋体"/>
                <w:bCs/>
                <w:color w:val="000000"/>
                <w:szCs w:val="21"/>
              </w:rPr>
              <w:t>改进的建议：各部门加强对标准条款和管理文件的学习，加大培训力度等。</w:t>
            </w:r>
          </w:p>
          <w:p>
            <w:pPr>
              <w:spacing w:line="260" w:lineRule="exact"/>
              <w:rPr>
                <w:rFonts w:ascii="宋体" w:hAnsi="宋体"/>
                <w:bCs/>
                <w:color w:val="000000"/>
                <w:szCs w:val="21"/>
              </w:rPr>
            </w:pPr>
            <w:r>
              <w:rPr>
                <w:rFonts w:hint="eastAsia" w:ascii="宋体" w:hAnsi="宋体"/>
                <w:bCs/>
                <w:color w:val="000000"/>
                <w:szCs w:val="21"/>
              </w:rPr>
              <w:t>管理评审基本有效。</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vAlign w:val="top"/>
          </w:tcPr>
          <w:p>
            <w:pPr>
              <w:rPr>
                <w:rFonts w:ascii="宋体"/>
                <w:color w:val="000000"/>
                <w:sz w:val="20"/>
                <w:szCs w:val="20"/>
              </w:rPr>
            </w:pPr>
            <w:r>
              <w:rPr>
                <w:rFonts w:hint="eastAsia" w:ascii="宋体" w:hAnsi="宋体"/>
                <w:color w:val="000000"/>
                <w:szCs w:val="21"/>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hAns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eastAsia="宋体" w:cs="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hAns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hAnsi="宋体"/>
                <w:b/>
                <w:color w:val="000000"/>
                <w:sz w:val="20"/>
                <w:szCs w:val="20"/>
              </w:rPr>
              <w:tab/>
            </w:r>
          </w:p>
          <w:p>
            <w:pPr>
              <w:spacing w:line="360" w:lineRule="exact"/>
              <w:rPr>
                <w:rFonts w:ascii="宋体" w:hAnsi="宋体"/>
                <w:b/>
                <w:color w:val="000000"/>
                <w:sz w:val="20"/>
                <w:szCs w:val="20"/>
              </w:rPr>
            </w:pPr>
            <w:r>
              <w:rPr>
                <w:rFonts w:hint="eastAsia" w:ascii="宋体" w:hAnsi="宋体" w:eastAsia="宋体" w:cs="宋体"/>
                <w:b/>
                <w:color w:val="000000"/>
                <w:spacing w:val="-10"/>
                <w:sz w:val="20"/>
                <w:szCs w:val="20"/>
                <w:lang w:val="de-DE"/>
              </w:rPr>
              <w:sym w:font="Wingdings" w:char="00A8"/>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范围有变化，与组织最终确定二阶段范围是：</w:t>
      </w:r>
    </w:p>
    <w:p>
      <w:pPr>
        <w:ind w:firstLine="210" w:firstLineChars="100"/>
        <w:rPr>
          <w:rFonts w:hint="eastAsia"/>
          <w:color w:val="000000"/>
          <w:szCs w:val="21"/>
        </w:rPr>
      </w:pPr>
      <w:bookmarkStart w:id="14" w:name="审核范围"/>
      <w:r>
        <w:rPr>
          <w:rFonts w:hint="eastAsia" w:ascii="宋体" w:hAnsi="宋体"/>
          <w:szCs w:val="21"/>
        </w:rPr>
        <w:t>Q：石油管道检测的技术推广服务；电子产品、仪器仪表的销售</w:t>
      </w:r>
    </w:p>
    <w:p>
      <w:pPr>
        <w:ind w:firstLine="210" w:firstLineChars="100"/>
        <w:rPr>
          <w:rFonts w:hint="eastAsia" w:ascii="宋体" w:hAnsi="宋体"/>
          <w:szCs w:val="21"/>
        </w:rPr>
      </w:pPr>
      <w:r>
        <w:rPr>
          <w:rFonts w:hint="eastAsia" w:ascii="宋体" w:hAnsi="宋体"/>
          <w:szCs w:val="21"/>
        </w:rPr>
        <w:t>E：石油管道检测的技术推广服务；电子产品、仪器仪表的销售所涉及场所的相关环境管理活动</w:t>
      </w:r>
    </w:p>
    <w:p>
      <w:pPr>
        <w:spacing w:before="156" w:beforeLines="50" w:after="62" w:afterLines="20" w:line="360" w:lineRule="exact"/>
        <w:ind w:firstLine="210" w:firstLineChars="100"/>
        <w:rPr>
          <w:rFonts w:hint="eastAsia" w:ascii="宋体" w:hAnsi="宋体"/>
          <w:b/>
          <w:bCs/>
          <w:color w:val="000000"/>
          <w:sz w:val="26"/>
          <w:szCs w:val="26"/>
        </w:rPr>
      </w:pPr>
      <w:r>
        <w:rPr>
          <w:rFonts w:hint="eastAsia" w:ascii="宋体" w:hAnsi="宋体"/>
          <w:szCs w:val="21"/>
        </w:rPr>
        <w:t>O：石油管道检测的技术推广服务；电子产品、仪器仪表的销售所涉及场所的相关职业健康安全管理活动</w:t>
      </w:r>
      <w:bookmarkEnd w:id="14"/>
      <w:r>
        <w:rPr>
          <w:rFonts w:hint="eastAsia" w:ascii="宋体" w:hAnsi="宋体"/>
          <w:szCs w:val="21"/>
        </w:rPr>
        <w:t xml:space="preserve"> </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ascii="宋体"/>
          <w:b/>
          <w:bCs/>
          <w:color w:val="000000"/>
          <w:sz w:val="26"/>
          <w:szCs w:val="26"/>
        </w:rPr>
      </w:pPr>
      <w:r>
        <w:drawing>
          <wp:anchor distT="0" distB="0" distL="114300" distR="114300" simplePos="0" relativeHeight="251658240" behindDoc="0" locked="0" layoutInCell="1" allowOverlap="1">
            <wp:simplePos x="0" y="0"/>
            <wp:positionH relativeFrom="column">
              <wp:posOffset>1939290</wp:posOffset>
            </wp:positionH>
            <wp:positionV relativeFrom="paragraph">
              <wp:posOffset>-330200</wp:posOffset>
            </wp:positionV>
            <wp:extent cx="847725" cy="528955"/>
            <wp:effectExtent l="0" t="0" r="3175" b="444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847725" cy="528955"/>
                    </a:xfrm>
                    <a:prstGeom prst="rect">
                      <a:avLst/>
                    </a:prstGeom>
                    <a:noFill/>
                    <a:ln>
                      <a:noFill/>
                    </a:ln>
                  </pic:spPr>
                </pic:pic>
              </a:graphicData>
            </a:graphic>
          </wp:anchor>
        </w:drawing>
      </w:r>
    </w:p>
    <w:p>
      <w:pPr>
        <w:spacing w:line="400" w:lineRule="exact"/>
        <w:ind w:firstLine="843" w:firstLineChars="400"/>
        <w:rPr>
          <w:rFonts w:hint="eastAsia" w:ascii="宋体" w:hAnsi="宋体"/>
          <w:b/>
          <w:color w:val="000000"/>
        </w:rPr>
      </w:pP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drawing>
          <wp:anchor distT="0" distB="0" distL="114300" distR="114300" simplePos="0" relativeHeight="251659264" behindDoc="0" locked="0" layoutInCell="1" allowOverlap="1">
            <wp:simplePos x="0" y="0"/>
            <wp:positionH relativeFrom="column">
              <wp:posOffset>1872615</wp:posOffset>
            </wp:positionH>
            <wp:positionV relativeFrom="paragraph">
              <wp:posOffset>-228600</wp:posOffset>
            </wp:positionV>
            <wp:extent cx="868045" cy="424815"/>
            <wp:effectExtent l="0" t="0" r="8255"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868045" cy="424815"/>
                    </a:xfrm>
                    <a:prstGeom prst="rect">
                      <a:avLst/>
                    </a:prstGeom>
                    <a:noFill/>
                    <a:ln>
                      <a:noFill/>
                    </a:ln>
                  </pic:spPr>
                </pic:pic>
              </a:graphicData>
            </a:graphic>
          </wp:anchor>
        </w:drawing>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2020.11.25</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2"/>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2"/>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Cs w:val="21"/>
        </w:rPr>
        <w:t>北京科信华仪科技有限公司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4"/>
                <w:szCs w:val="24"/>
              </w:rPr>
            </w:pPr>
          </w:p>
        </w:tc>
        <w:tc>
          <w:tcPr>
            <w:tcW w:w="5681" w:type="dxa"/>
            <w:vAlign w:val="center"/>
          </w:tcPr>
          <w:p>
            <w:pPr>
              <w:pStyle w:val="2"/>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2"/>
              <w:pBdr>
                <w:bottom w:val="none" w:color="auto" w:sz="0" w:space="0"/>
              </w:pBdr>
              <w:ind w:right="600"/>
              <w:jc w:val="both"/>
              <w:rPr>
                <w:color w:val="000000"/>
                <w:sz w:val="32"/>
                <w:szCs w:val="32"/>
              </w:rPr>
            </w:pPr>
          </w:p>
        </w:tc>
        <w:tc>
          <w:tcPr>
            <w:tcW w:w="1811" w:type="dxa"/>
            <w:vAlign w:val="center"/>
          </w:tcPr>
          <w:p>
            <w:pPr>
              <w:pStyle w:val="2"/>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4"/>
                <w:szCs w:val="24"/>
              </w:rPr>
            </w:pPr>
          </w:p>
        </w:tc>
        <w:tc>
          <w:tcPr>
            <w:tcW w:w="5681" w:type="dxa"/>
            <w:vAlign w:val="center"/>
          </w:tcPr>
          <w:p>
            <w:pPr>
              <w:pStyle w:val="2"/>
              <w:pBdr>
                <w:bottom w:val="none" w:color="auto" w:sz="0" w:space="0"/>
              </w:pBdr>
              <w:tabs>
                <w:tab w:val="center" w:pos="5737"/>
                <w:tab w:val="clear" w:pos="4153"/>
              </w:tabs>
              <w:jc w:val="both"/>
              <w:rPr>
                <w:color w:val="000000"/>
                <w:sz w:val="24"/>
                <w:szCs w:val="24"/>
              </w:rPr>
            </w:pPr>
          </w:p>
        </w:tc>
        <w:tc>
          <w:tcPr>
            <w:tcW w:w="1688" w:type="dxa"/>
            <w:vAlign w:val="center"/>
          </w:tcPr>
          <w:p>
            <w:pPr>
              <w:pStyle w:val="2"/>
              <w:pBdr>
                <w:bottom w:val="none" w:color="auto" w:sz="0" w:space="0"/>
              </w:pBdr>
              <w:ind w:right="600"/>
              <w:jc w:val="both"/>
              <w:rPr>
                <w:color w:val="000000"/>
                <w:sz w:val="32"/>
                <w:szCs w:val="32"/>
              </w:rPr>
            </w:pPr>
          </w:p>
        </w:tc>
        <w:tc>
          <w:tcPr>
            <w:tcW w:w="1811" w:type="dxa"/>
            <w:vAlign w:val="center"/>
          </w:tcPr>
          <w:p>
            <w:pPr>
              <w:pStyle w:val="2"/>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4"/>
                <w:szCs w:val="24"/>
              </w:rPr>
            </w:pPr>
          </w:p>
        </w:tc>
        <w:tc>
          <w:tcPr>
            <w:tcW w:w="5681" w:type="dxa"/>
            <w:vAlign w:val="center"/>
          </w:tcPr>
          <w:p>
            <w:pPr>
              <w:pStyle w:val="2"/>
              <w:pBdr>
                <w:bottom w:val="none" w:color="auto" w:sz="0" w:space="0"/>
              </w:pBdr>
              <w:tabs>
                <w:tab w:val="center" w:pos="5737"/>
                <w:tab w:val="clear" w:pos="4153"/>
              </w:tabs>
              <w:jc w:val="both"/>
              <w:rPr>
                <w:color w:val="000000"/>
                <w:sz w:val="24"/>
                <w:szCs w:val="24"/>
              </w:rPr>
            </w:pPr>
          </w:p>
        </w:tc>
        <w:tc>
          <w:tcPr>
            <w:tcW w:w="1688" w:type="dxa"/>
            <w:vAlign w:val="center"/>
          </w:tcPr>
          <w:p>
            <w:pPr>
              <w:pStyle w:val="2"/>
              <w:pBdr>
                <w:bottom w:val="none" w:color="auto" w:sz="0" w:space="0"/>
              </w:pBdr>
              <w:ind w:right="600"/>
              <w:jc w:val="both"/>
              <w:rPr>
                <w:color w:val="000000"/>
                <w:sz w:val="32"/>
                <w:szCs w:val="32"/>
              </w:rPr>
            </w:pPr>
          </w:p>
        </w:tc>
        <w:tc>
          <w:tcPr>
            <w:tcW w:w="1811" w:type="dxa"/>
            <w:vAlign w:val="center"/>
          </w:tcPr>
          <w:p>
            <w:pPr>
              <w:pStyle w:val="2"/>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default" w:eastAsia="宋体"/>
                <w:b/>
                <w:color w:val="000000"/>
                <w:sz w:val="22"/>
                <w:szCs w:val="22"/>
                <w:lang w:val="en-US" w:eastAsia="zh-CN"/>
              </w:rPr>
            </w:pPr>
            <w:r>
              <w:rPr>
                <w:rFonts w:hint="eastAsia"/>
                <w:b/>
                <w:color w:val="000000"/>
                <w:sz w:val="22"/>
                <w:szCs w:val="22"/>
              </w:rPr>
              <w:t>审核员：</w:t>
            </w:r>
            <w:r>
              <w:rPr>
                <w:rFonts w:hint="eastAsia"/>
                <w:b/>
                <w:color w:val="000000"/>
                <w:sz w:val="22"/>
                <w:szCs w:val="22"/>
                <w:lang w:val="en-US" w:eastAsia="zh-CN"/>
              </w:rPr>
              <w:t>李京田</w:t>
            </w:r>
          </w:p>
          <w:p>
            <w:pPr>
              <w:spacing w:line="280" w:lineRule="exact"/>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2020</w:t>
            </w:r>
            <w:r>
              <w:rPr>
                <w:rFonts w:hint="eastAsia"/>
                <w:b/>
                <w:color w:val="000000"/>
                <w:sz w:val="22"/>
                <w:szCs w:val="22"/>
              </w:rPr>
              <w:t xml:space="preserve">  年  </w:t>
            </w:r>
            <w:r>
              <w:rPr>
                <w:rFonts w:hint="eastAsia"/>
                <w:b/>
                <w:color w:val="000000"/>
                <w:sz w:val="22"/>
                <w:szCs w:val="22"/>
                <w:lang w:val="en-US" w:eastAsia="zh-CN"/>
              </w:rPr>
              <w:t>11</w:t>
            </w:r>
            <w:r>
              <w:rPr>
                <w:rFonts w:hint="eastAsia"/>
                <w:b/>
                <w:color w:val="000000"/>
                <w:sz w:val="22"/>
                <w:szCs w:val="22"/>
              </w:rPr>
              <w:t xml:space="preserve"> 月 </w:t>
            </w:r>
            <w:r>
              <w:rPr>
                <w:rFonts w:hint="eastAsia"/>
                <w:b/>
                <w:color w:val="000000"/>
                <w:sz w:val="22"/>
                <w:szCs w:val="22"/>
                <w:lang w:val="en-US" w:eastAsia="zh-CN"/>
              </w:rPr>
              <w:t>25</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受审核方确认：         日期：</w:t>
            </w:r>
            <w:r>
              <w:rPr>
                <w:rFonts w:hint="eastAsia"/>
                <w:b/>
                <w:color w:val="000000"/>
                <w:sz w:val="22"/>
                <w:szCs w:val="22"/>
                <w:lang w:val="en-US" w:eastAsia="zh-CN"/>
              </w:rPr>
              <w:t xml:space="preserve">   </w:t>
            </w:r>
            <w:r>
              <w:rPr>
                <w:rFonts w:hint="eastAsia"/>
                <w:b/>
                <w:color w:val="000000"/>
                <w:sz w:val="22"/>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ind w:firstLine="221" w:firstLineChars="100"/>
              <w:rPr>
                <w:rFonts w:hint="default" w:eastAsia="宋体"/>
                <w:b/>
                <w:color w:val="000000"/>
                <w:sz w:val="22"/>
                <w:szCs w:val="22"/>
                <w:lang w:val="en-US" w:eastAsia="zh-CN"/>
              </w:rPr>
            </w:pPr>
            <w:r>
              <w:rPr>
                <w:rFonts w:hint="eastAsia"/>
                <w:b/>
                <w:color w:val="000000"/>
                <w:sz w:val="22"/>
                <w:szCs w:val="22"/>
              </w:rPr>
              <w:t>验证人：</w:t>
            </w:r>
            <w:r>
              <w:rPr>
                <w:rFonts w:hint="eastAsia"/>
                <w:b/>
                <w:color w:val="000000"/>
                <w:sz w:val="22"/>
                <w:szCs w:val="22"/>
                <w:lang w:val="en-US" w:eastAsia="zh-CN"/>
              </w:rPr>
              <w:t xml:space="preserve">李京田  </w:t>
            </w:r>
            <w:r>
              <w:rPr>
                <w:rFonts w:hint="eastAsia"/>
                <w:b/>
                <w:color w:val="000000"/>
                <w:sz w:val="22"/>
                <w:szCs w:val="22"/>
              </w:rPr>
              <w:t>日期：</w:t>
            </w:r>
            <w:r>
              <w:rPr>
                <w:rFonts w:hint="eastAsia"/>
                <w:b/>
                <w:color w:val="000000"/>
                <w:sz w:val="22"/>
                <w:szCs w:val="22"/>
                <w:lang w:val="en-US" w:eastAsia="zh-CN"/>
              </w:rPr>
              <w:t>2020.11.27</w:t>
            </w:r>
            <w:bookmarkStart w:id="15" w:name="_GoBack"/>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2"/>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956535"/>
    <w:rsid w:val="1CE24F83"/>
    <w:rsid w:val="26AD7487"/>
    <w:rsid w:val="3B6972C7"/>
    <w:rsid w:val="658434CD"/>
    <w:rsid w:val="6EA26A1C"/>
    <w:rsid w:val="7AC348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表格文字"/>
    <w:basedOn w:val="1"/>
    <w:qFormat/>
    <w:uiPriority w:val="0"/>
    <w:pPr>
      <w:spacing w:before="25" w:after="25"/>
    </w:pPr>
    <w:rPr>
      <w:bCs/>
      <w:spacing w:val="10"/>
    </w:r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2"/>
    <w:qFormat/>
    <w:locked/>
    <w:uiPriority w:val="99"/>
    <w:rPr>
      <w:rFonts w:ascii="Calibri" w:hAnsi="Calibri" w:eastAsia="宋体" w:cs="Times New Roman"/>
      <w:sz w:val="18"/>
      <w:szCs w:val="18"/>
    </w:rPr>
  </w:style>
  <w:style w:type="character" w:customStyle="1" w:styleId="13">
    <w:name w:val="副标题 字符"/>
    <w:link w:val="5"/>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dcterms:modified xsi:type="dcterms:W3CDTF">2020-11-25T03:19:15Z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