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4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宋体" w:hAnsi="宋体" w:cs="宋体"/>
                <w:szCs w:val="21"/>
              </w:rPr>
            </w:pPr>
            <w:r>
              <w:rPr>
                <w:rFonts w:hint="eastAsia" w:ascii="宋体" w:hAnsi="宋体" w:cs="宋体"/>
                <w:szCs w:val="21"/>
              </w:rPr>
              <w:t>过程与活动、</w:t>
            </w:r>
          </w:p>
          <w:p>
            <w:pPr>
              <w:jc w:val="center"/>
              <w:rPr>
                <w:rFonts w:ascii="宋体" w:hAnsi="宋体" w:cs="宋体"/>
                <w:szCs w:val="21"/>
              </w:rPr>
            </w:pPr>
            <w:r>
              <w:rPr>
                <w:rFonts w:hint="eastAsia" w:ascii="宋体" w:hAnsi="宋体" w:cs="宋体"/>
                <w:szCs w:val="21"/>
              </w:rPr>
              <w:t>抽样计划</w:t>
            </w:r>
          </w:p>
        </w:tc>
        <w:tc>
          <w:tcPr>
            <w:tcW w:w="960" w:type="dxa"/>
            <w:vMerge w:val="restart"/>
            <w:vAlign w:val="center"/>
          </w:tcPr>
          <w:p>
            <w:pPr>
              <w:rPr>
                <w:rFonts w:ascii="宋体" w:hAnsi="宋体" w:cs="宋体"/>
                <w:szCs w:val="21"/>
              </w:rPr>
            </w:pPr>
            <w:r>
              <w:rPr>
                <w:rFonts w:hint="eastAsia" w:ascii="宋体" w:hAnsi="宋体" w:cs="宋体"/>
                <w:szCs w:val="21"/>
              </w:rPr>
              <w:t>涉及</w:t>
            </w:r>
          </w:p>
          <w:p>
            <w:pPr>
              <w:rPr>
                <w:rFonts w:ascii="宋体" w:hAnsi="宋体" w:cs="宋体"/>
                <w:szCs w:val="21"/>
              </w:rPr>
            </w:pPr>
            <w:r>
              <w:rPr>
                <w:rFonts w:hint="eastAsia" w:ascii="宋体" w:hAnsi="宋体" w:cs="宋体"/>
                <w:szCs w:val="21"/>
              </w:rPr>
              <w:t>条款</w:t>
            </w:r>
          </w:p>
        </w:tc>
        <w:tc>
          <w:tcPr>
            <w:tcW w:w="10943" w:type="dxa"/>
            <w:vAlign w:val="center"/>
          </w:tcPr>
          <w:p>
            <w:pPr>
              <w:rPr>
                <w:rFonts w:ascii="宋体" w:hAnsi="宋体" w:cs="宋体"/>
                <w:szCs w:val="21"/>
              </w:rPr>
            </w:pPr>
            <w:r>
              <w:rPr>
                <w:rFonts w:hint="eastAsia" w:ascii="宋体" w:hAnsi="宋体" w:cs="宋体"/>
                <w:szCs w:val="21"/>
              </w:rPr>
              <w:t>受审核部门：管理层          主管领导：周坤   管理者代表：杨云博 安全事务代表：付博</w:t>
            </w:r>
          </w:p>
        </w:tc>
        <w:tc>
          <w:tcPr>
            <w:tcW w:w="646" w:type="dxa"/>
            <w:vMerge w:val="restart"/>
            <w:vAlign w:val="center"/>
          </w:tcPr>
          <w:p>
            <w:pPr>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宋体" w:hAnsi="宋体" w:cs="宋体"/>
                <w:szCs w:val="21"/>
              </w:rPr>
            </w:pPr>
          </w:p>
        </w:tc>
        <w:tc>
          <w:tcPr>
            <w:tcW w:w="960" w:type="dxa"/>
            <w:vMerge w:val="continue"/>
            <w:vAlign w:val="center"/>
          </w:tcPr>
          <w:p>
            <w:pPr>
              <w:rPr>
                <w:rFonts w:ascii="宋体" w:hAnsi="宋体" w:cs="宋体"/>
                <w:szCs w:val="21"/>
              </w:rPr>
            </w:pPr>
          </w:p>
        </w:tc>
        <w:tc>
          <w:tcPr>
            <w:tcW w:w="10943" w:type="dxa"/>
            <w:vAlign w:val="center"/>
          </w:tcPr>
          <w:p>
            <w:pPr>
              <w:spacing w:before="120"/>
              <w:rPr>
                <w:rFonts w:ascii="宋体" w:hAnsi="宋体" w:cs="宋体"/>
                <w:szCs w:val="21"/>
              </w:rPr>
            </w:pPr>
            <w:r>
              <w:rPr>
                <w:rFonts w:hint="eastAsia" w:ascii="宋体" w:hAnsi="宋体" w:cs="宋体"/>
                <w:szCs w:val="21"/>
              </w:rPr>
              <w:t>审核员：李雅静             审核时间：20</w:t>
            </w:r>
            <w:r>
              <w:rPr>
                <w:rFonts w:ascii="宋体" w:hAnsi="宋体" w:cs="宋体"/>
                <w:szCs w:val="21"/>
              </w:rPr>
              <w:t>20</w:t>
            </w:r>
            <w:r>
              <w:rPr>
                <w:rFonts w:hint="eastAsia" w:ascii="宋体" w:hAnsi="宋体" w:cs="宋体"/>
                <w:szCs w:val="21"/>
              </w:rPr>
              <w:t>年1</w:t>
            </w:r>
            <w:r>
              <w:rPr>
                <w:rFonts w:ascii="宋体" w:hAnsi="宋体" w:cs="宋体"/>
                <w:szCs w:val="21"/>
              </w:rPr>
              <w:t>1</w:t>
            </w:r>
            <w:r>
              <w:rPr>
                <w:rFonts w:hint="eastAsia" w:ascii="宋体" w:hAnsi="宋体" w:cs="宋体"/>
                <w:szCs w:val="21"/>
              </w:rPr>
              <w:t>月2</w:t>
            </w:r>
            <w:r>
              <w:rPr>
                <w:rFonts w:ascii="宋体" w:hAnsi="宋体" w:cs="宋体"/>
                <w:szCs w:val="21"/>
              </w:rPr>
              <w:t>5</w:t>
            </w:r>
            <w:r>
              <w:rPr>
                <w:rFonts w:hint="eastAsia" w:ascii="宋体" w:hAnsi="宋体" w:cs="宋体"/>
                <w:szCs w:val="21"/>
              </w:rPr>
              <w:t>日</w:t>
            </w:r>
          </w:p>
        </w:tc>
        <w:tc>
          <w:tcPr>
            <w:tcW w:w="646"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宋体" w:hAnsi="宋体" w:cs="宋体"/>
                <w:szCs w:val="21"/>
              </w:rPr>
            </w:pPr>
          </w:p>
        </w:tc>
        <w:tc>
          <w:tcPr>
            <w:tcW w:w="960" w:type="dxa"/>
            <w:vMerge w:val="continue"/>
            <w:vAlign w:val="center"/>
          </w:tcPr>
          <w:p>
            <w:pPr>
              <w:rPr>
                <w:rFonts w:ascii="宋体" w:hAnsi="宋体" w:cs="宋体"/>
                <w:szCs w:val="21"/>
              </w:rPr>
            </w:pPr>
          </w:p>
        </w:tc>
        <w:tc>
          <w:tcPr>
            <w:tcW w:w="10943" w:type="dxa"/>
            <w:vAlign w:val="center"/>
          </w:tcPr>
          <w:p>
            <w:pPr>
              <w:rPr>
                <w:rFonts w:ascii="宋体" w:hAnsi="宋体" w:cs="宋体"/>
                <w:szCs w:val="21"/>
              </w:rPr>
            </w:pPr>
            <w:r>
              <w:rPr>
                <w:rFonts w:hint="eastAsia" w:ascii="宋体" w:hAnsi="宋体" w:cs="宋体"/>
                <w:szCs w:val="21"/>
              </w:rPr>
              <w:t>审核条款：</w:t>
            </w:r>
            <w:bookmarkStart w:id="0" w:name="_GoBack"/>
            <w:bookmarkEnd w:id="0"/>
          </w:p>
        </w:tc>
        <w:tc>
          <w:tcPr>
            <w:tcW w:w="646"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ascii="宋体" w:hAnsi="宋体" w:cs="宋体"/>
                <w:szCs w:val="21"/>
              </w:rPr>
            </w:pPr>
            <w:r>
              <w:rPr>
                <w:rFonts w:hint="eastAsia" w:ascii="宋体" w:hAnsi="宋体" w:cs="宋体"/>
                <w:szCs w:val="21"/>
              </w:rPr>
              <w:t>理解组织及其环境</w:t>
            </w:r>
          </w:p>
          <w:p>
            <w:pPr>
              <w:spacing w:line="280" w:lineRule="exact"/>
              <w:rPr>
                <w:rFonts w:ascii="宋体" w:hAnsi="宋体" w:cs="宋体"/>
                <w:szCs w:val="21"/>
              </w:rPr>
            </w:pPr>
            <w:r>
              <w:rPr>
                <w:rFonts w:hint="eastAsia" w:ascii="宋体" w:hAnsi="宋体" w:cs="宋体"/>
                <w:szCs w:val="21"/>
              </w:rPr>
              <w:t>总要求</w:t>
            </w:r>
          </w:p>
          <w:p>
            <w:pPr>
              <w:pStyle w:val="7"/>
            </w:pPr>
          </w:p>
          <w:p>
            <w:pPr>
              <w:spacing w:line="280" w:lineRule="exact"/>
              <w:rPr>
                <w:rFonts w:ascii="宋体" w:hAnsi="宋体" w:cs="宋体"/>
                <w:szCs w:val="21"/>
              </w:rPr>
            </w:pPr>
            <w:r>
              <w:rPr>
                <w:rFonts w:hint="eastAsia" w:ascii="宋体" w:hAnsi="宋体" w:cs="宋体"/>
                <w:szCs w:val="21"/>
              </w:rPr>
              <w:t>确定管理体系的范围</w:t>
            </w:r>
          </w:p>
          <w:p>
            <w:pPr>
              <w:pStyle w:val="7"/>
            </w:pPr>
          </w:p>
          <w:p>
            <w:pPr>
              <w:spacing w:line="280" w:lineRule="exact"/>
              <w:rPr>
                <w:rFonts w:ascii="宋体" w:hAnsi="宋体" w:cs="宋体"/>
                <w:szCs w:val="21"/>
              </w:rPr>
            </w:pPr>
          </w:p>
        </w:tc>
        <w:tc>
          <w:tcPr>
            <w:tcW w:w="960" w:type="dxa"/>
          </w:tcPr>
          <w:p>
            <w:pPr>
              <w:spacing w:line="280" w:lineRule="exact"/>
              <w:rPr>
                <w:rFonts w:ascii="宋体" w:hAnsi="宋体" w:cs="宋体"/>
                <w:szCs w:val="21"/>
              </w:rPr>
            </w:pPr>
            <w:r>
              <w:rPr>
                <w:rFonts w:ascii="宋体" w:hAnsi="宋体" w:cs="宋体"/>
                <w:szCs w:val="21"/>
              </w:rPr>
              <w:t>Q/E/S</w:t>
            </w:r>
            <w:r>
              <w:rPr>
                <w:rFonts w:hint="eastAsia" w:ascii="宋体" w:hAnsi="宋体" w:cs="宋体"/>
                <w:szCs w:val="21"/>
              </w:rPr>
              <w:t xml:space="preserve"> 4.1</w:t>
            </w:r>
          </w:p>
          <w:p>
            <w:pPr>
              <w:spacing w:line="280" w:lineRule="exact"/>
              <w:rPr>
                <w:rFonts w:ascii="宋体" w:hAnsi="宋体" w:cs="宋体"/>
                <w:szCs w:val="21"/>
              </w:rPr>
            </w:pPr>
            <w:r>
              <w:rPr>
                <w:rFonts w:ascii="宋体" w:hAnsi="宋体" w:cs="宋体"/>
                <w:szCs w:val="21"/>
              </w:rPr>
              <w:t>Q/E/S</w:t>
            </w:r>
            <w:r>
              <w:rPr>
                <w:rFonts w:hint="eastAsia" w:ascii="宋体" w:hAnsi="宋体" w:cs="宋体"/>
                <w:szCs w:val="21"/>
              </w:rPr>
              <w:t xml:space="preserve"> 4.3</w:t>
            </w:r>
          </w:p>
          <w:p>
            <w:pPr>
              <w:pStyle w:val="7"/>
            </w:pPr>
          </w:p>
          <w:p>
            <w:pPr>
              <w:spacing w:line="280" w:lineRule="exact"/>
              <w:rPr>
                <w:rFonts w:ascii="宋体" w:hAnsi="宋体" w:cs="宋体"/>
                <w:szCs w:val="21"/>
              </w:rPr>
            </w:pPr>
            <w:r>
              <w:rPr>
                <w:rFonts w:ascii="宋体" w:hAnsi="宋体" w:cs="宋体"/>
                <w:szCs w:val="21"/>
              </w:rPr>
              <w:t>Q/E/S</w:t>
            </w:r>
            <w:r>
              <w:rPr>
                <w:rFonts w:hint="eastAsia" w:ascii="宋体" w:hAnsi="宋体" w:cs="宋体"/>
                <w:szCs w:val="21"/>
              </w:rPr>
              <w:t>4.1</w:t>
            </w:r>
          </w:p>
          <w:p>
            <w:pPr>
              <w:pStyle w:val="7"/>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在确定管理体系范围时公司考虑了以下内容：a各种内部和外部因素；b相关方的要求，包括相关合规义务；c组织的活动、产品和产品；d其组织单元、职能和物理边界。</w:t>
            </w:r>
          </w:p>
          <w:p>
            <w:pPr>
              <w:pStyle w:val="7"/>
            </w:pPr>
            <w:r>
              <w:rPr>
                <w:rFonts w:hint="eastAsia"/>
              </w:rPr>
              <w:t>经营地址：北京市海淀区学清路16号学知轩18层1816</w:t>
            </w:r>
          </w:p>
          <w:p>
            <w:pPr>
              <w:spacing w:line="280" w:lineRule="exact"/>
              <w:ind w:firstLine="420" w:firstLineChars="200"/>
              <w:rPr>
                <w:rFonts w:ascii="宋体" w:hAnsi="宋体" w:cs="宋体"/>
                <w:szCs w:val="21"/>
              </w:rPr>
            </w:pPr>
            <w:r>
              <w:rPr>
                <w:rFonts w:hint="eastAsia" w:ascii="宋体" w:hAnsi="宋体" w:cs="宋体"/>
                <w:szCs w:val="21"/>
              </w:rPr>
              <w:t>经现场确认认证范围为：</w:t>
            </w:r>
          </w:p>
          <w:p>
            <w:pPr>
              <w:rPr>
                <w:sz w:val="20"/>
              </w:rPr>
            </w:pPr>
            <w:r>
              <w:rPr>
                <w:sz w:val="20"/>
              </w:rPr>
              <w:t>Q：石油管道检测的技术推广服务；电子产品、仪器仪表的销售</w:t>
            </w:r>
          </w:p>
          <w:p>
            <w:pPr>
              <w:rPr>
                <w:sz w:val="20"/>
              </w:rPr>
            </w:pPr>
            <w:r>
              <w:rPr>
                <w:sz w:val="20"/>
              </w:rPr>
              <w:t>E：石油管道检测的技术推广服务；电子产品、仪器仪表的销售所涉及场所的相关环境管理活动</w:t>
            </w:r>
          </w:p>
          <w:p>
            <w:pPr>
              <w:spacing w:line="280" w:lineRule="exact"/>
              <w:rPr>
                <w:rFonts w:ascii="宋体" w:hAnsi="宋体" w:cs="宋体"/>
                <w:szCs w:val="21"/>
              </w:rPr>
            </w:pPr>
            <w:r>
              <w:rPr>
                <w:sz w:val="20"/>
              </w:rPr>
              <w:t>O：石油管道检测的技术推广服务；电子产品、仪器仪表的销售所涉及场所的相关职业健康安全管理活动</w:t>
            </w:r>
            <w:r>
              <w:rPr>
                <w:rFonts w:hint="eastAsia" w:ascii="宋体" w:hAnsi="宋体" w:cs="宋体"/>
                <w:szCs w:val="21"/>
              </w:rPr>
              <w:t>外包情况：无。</w:t>
            </w:r>
          </w:p>
          <w:p>
            <w:pPr>
              <w:spacing w:line="280" w:lineRule="exact"/>
              <w:ind w:firstLine="420" w:firstLineChars="200"/>
              <w:rPr>
                <w:rFonts w:ascii="宋体" w:hAnsi="宋体" w:cs="宋体"/>
                <w:szCs w:val="21"/>
              </w:rPr>
            </w:pPr>
            <w:r>
              <w:rPr>
                <w:rFonts w:hint="eastAsia" w:ascii="宋体" w:hAnsi="宋体" w:cs="宋体"/>
                <w:szCs w:val="21"/>
              </w:rPr>
              <w:t>认证主管部门：综合部</w:t>
            </w:r>
          </w:p>
          <w:p>
            <w:pPr>
              <w:spacing w:line="280" w:lineRule="exact"/>
              <w:rPr>
                <w:rFonts w:ascii="宋体" w:hAnsi="宋体" w:cs="宋体"/>
                <w:szCs w:val="21"/>
              </w:rPr>
            </w:pPr>
            <w:r>
              <w:rPr>
                <w:rFonts w:hint="eastAsia" w:ascii="宋体" w:hAnsi="宋体" w:cs="宋体"/>
                <w:szCs w:val="21"/>
              </w:rPr>
              <w:t>认证目的：</w:t>
            </w:r>
          </w:p>
          <w:p>
            <w:pPr>
              <w:spacing w:line="280" w:lineRule="exact"/>
              <w:ind w:firstLine="420" w:firstLineChars="200"/>
              <w:rPr>
                <w:rFonts w:ascii="宋体" w:hAnsi="宋体" w:cs="宋体"/>
                <w:szCs w:val="21"/>
              </w:rPr>
            </w:pPr>
            <w:r>
              <w:rPr>
                <w:rFonts w:hint="eastAsia" w:ascii="宋体" w:hAnsi="宋体" w:cs="宋体"/>
                <w:szCs w:val="21"/>
              </w:rPr>
              <w:t>总经理述：为了提高公司整体的市场竞争力和准入能力，现着力推行管理体系。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80" w:lineRule="exact"/>
              <w:ind w:firstLine="420" w:firstLineChars="200"/>
              <w:rPr>
                <w:rFonts w:ascii="宋体" w:hAnsi="宋体" w:cs="宋体"/>
                <w:szCs w:val="21"/>
              </w:rPr>
            </w:pPr>
            <w:r>
              <w:rPr>
                <w:rFonts w:hint="eastAsia" w:ascii="宋体" w:hAnsi="宋体" w:cs="宋体"/>
                <w:szCs w:val="21"/>
              </w:rPr>
              <w:t>公司综合每年根据由公司从市场、客户、网络等搜集到的信息并结合公司自身业务运作情况进行分析，通过分析对这些内部和外部因素的相关信息进行监视和评审以确保其充分和适宜。</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方针</w:t>
            </w:r>
          </w:p>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制定方针</w:t>
            </w:r>
          </w:p>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沟通方针</w:t>
            </w:r>
          </w:p>
        </w:tc>
        <w:tc>
          <w:tcPr>
            <w:tcW w:w="960" w:type="dxa"/>
          </w:tcPr>
          <w:p>
            <w:pPr>
              <w:spacing w:line="280" w:lineRule="exact"/>
              <w:rPr>
                <w:rFonts w:asciiTheme="minorEastAsia" w:hAnsiTheme="minorEastAsia" w:eastAsiaTheme="minorEastAsia" w:cstheme="minorEastAsia"/>
                <w:szCs w:val="21"/>
              </w:rPr>
            </w:pPr>
            <w:r>
              <w:rPr>
                <w:rFonts w:asciiTheme="minorEastAsia" w:hAnsiTheme="minorEastAsia" w:eastAsiaTheme="minorEastAsia" w:cstheme="minorEastAsia"/>
                <w:szCs w:val="21"/>
              </w:rPr>
              <w:t>Q/E/S</w:t>
            </w:r>
            <w:r>
              <w:rPr>
                <w:rFonts w:hint="eastAsia" w:asciiTheme="minorEastAsia" w:hAnsiTheme="minorEastAsia" w:eastAsiaTheme="minorEastAsia" w:cstheme="minorEastAsia"/>
                <w:szCs w:val="21"/>
              </w:rPr>
              <w:t>5.2</w:t>
            </w:r>
          </w:p>
          <w:p>
            <w:pPr>
              <w:snapToGrid w:val="0"/>
              <w:spacing w:line="280" w:lineRule="exact"/>
              <w:rPr>
                <w:rFonts w:asciiTheme="minorEastAsia" w:hAnsiTheme="minorEastAsia" w:eastAsiaTheme="minorEastAsia" w:cstheme="minorEastAsia"/>
                <w:szCs w:val="21"/>
              </w:rPr>
            </w:pPr>
          </w:p>
          <w:p>
            <w:pPr>
              <w:spacing w:line="280" w:lineRule="exact"/>
              <w:rPr>
                <w:rFonts w:asciiTheme="minorEastAsia" w:hAnsiTheme="minorEastAsia" w:eastAsiaTheme="minorEastAsia" w:cstheme="minorEastAsia"/>
                <w:szCs w:val="21"/>
              </w:rPr>
            </w:pPr>
          </w:p>
          <w:p>
            <w:pPr>
              <w:spacing w:line="280" w:lineRule="exact"/>
              <w:rPr>
                <w:rFonts w:asciiTheme="minorEastAsia" w:hAnsiTheme="minorEastAsia" w:eastAsiaTheme="minorEastAsia" w:cstheme="minorEastAsia"/>
                <w:color w:val="FF0000"/>
                <w:szCs w:val="21"/>
              </w:rPr>
            </w:pPr>
          </w:p>
        </w:tc>
        <w:tc>
          <w:tcPr>
            <w:tcW w:w="10943"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该公司管理方针为：</w:t>
            </w:r>
          </w:p>
          <w:p>
            <w:pPr>
              <w:autoSpaceDE w:val="0"/>
              <w:autoSpaceDN w:val="0"/>
              <w:adjustRightInd w:val="0"/>
              <w:spacing w:line="360" w:lineRule="auto"/>
              <w:ind w:firstLine="420" w:firstLineChars="200"/>
              <w:rPr>
                <w:rFonts w:ascii="华文中宋" w:hAnsi="华文中宋" w:eastAsia="华文中宋" w:cs="宋体"/>
                <w:color w:val="000000"/>
              </w:rPr>
            </w:pPr>
            <w:r>
              <w:rPr>
                <w:rFonts w:hint="eastAsia" w:ascii="华文中宋" w:hAnsi="华文中宋" w:eastAsia="华文中宋" w:cs="宋体"/>
                <w:color w:val="000000"/>
              </w:rPr>
              <w:t>守法诚信追求质量，预防污染保护环境；</w:t>
            </w:r>
          </w:p>
          <w:p>
            <w:pPr>
              <w:autoSpaceDE w:val="0"/>
              <w:autoSpaceDN w:val="0"/>
              <w:adjustRightInd w:val="0"/>
              <w:spacing w:line="360" w:lineRule="auto"/>
              <w:ind w:firstLine="420" w:firstLineChars="200"/>
              <w:rPr>
                <w:rFonts w:ascii="华文中宋" w:hAnsi="华文中宋" w:eastAsia="华文中宋" w:cs="宋体"/>
                <w:color w:val="000000"/>
              </w:rPr>
            </w:pPr>
            <w:r>
              <w:rPr>
                <w:rFonts w:hint="eastAsia" w:ascii="华文中宋" w:hAnsi="华文中宋" w:eastAsia="华文中宋" w:cs="宋体"/>
                <w:color w:val="000000"/>
              </w:rPr>
              <w:t>关爱员工健康安全，持续改进追求卓越。</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公司以质量、环境、职业健康安全标准为基础，结合公司实际特制定管理方针。与杨云博先生进行交谈，杨先生及付先生对方针内涵的理解较深刻。方针能为制定目标提供框架，方针基本符合标准的要求。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总经理用会议、文件等手段保证管理方针为全体员工理解并落实到工作中。管理评审时对方针的持续适宜性进行了评审，有评审记录。</w:t>
            </w:r>
          </w:p>
          <w:p>
            <w:pPr>
              <w:spacing w:line="280" w:lineRule="exact"/>
              <w:ind w:firstLine="420" w:firstLineChars="200"/>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以上管理方针通过文件、培训等形式将公司管理方针传达给所有为公司工作或代表公司的人员，相关方也可通过综合部获取公司管理方针。</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工作人员的协商和参与</w:t>
            </w:r>
          </w:p>
        </w:tc>
        <w:tc>
          <w:tcPr>
            <w:tcW w:w="960" w:type="dxa"/>
          </w:tcPr>
          <w:p>
            <w:pPr>
              <w:spacing w:line="280" w:lineRule="exact"/>
              <w:rPr>
                <w:rFonts w:ascii="宋体" w:cs="宋体"/>
                <w:szCs w:val="21"/>
              </w:rPr>
            </w:pPr>
            <w:r>
              <w:rPr>
                <w:rFonts w:ascii="宋体" w:cs="宋体"/>
                <w:szCs w:val="21"/>
              </w:rPr>
              <w:t>S5.4</w:t>
            </w: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经了解公司用于在职业健康安全管理体系的开发、策划、实施、绩效评价和改进措施中与所有适用层次和职能的工作人员及其代表（若有）的协商和参与。</w:t>
            </w:r>
          </w:p>
          <w:p>
            <w:pPr>
              <w:spacing w:line="280" w:lineRule="exact"/>
              <w:ind w:firstLine="420" w:firstLineChars="200"/>
              <w:rPr>
                <w:rFonts w:ascii="宋体" w:hAnsi="宋体" w:cs="宋体"/>
                <w:szCs w:val="21"/>
              </w:rPr>
            </w:pPr>
            <w:r>
              <w:rPr>
                <w:rFonts w:hint="eastAsia" w:ascii="宋体" w:hAnsi="宋体" w:cs="宋体"/>
                <w:szCs w:val="21"/>
              </w:rPr>
              <w:t>公司任命员工代表—付博先生</w:t>
            </w:r>
          </w:p>
          <w:p>
            <w:pPr>
              <w:spacing w:line="280" w:lineRule="exact"/>
              <w:ind w:firstLine="420" w:firstLineChars="200"/>
              <w:rPr>
                <w:rFonts w:ascii="宋体" w:hAnsi="宋体" w:cs="宋体"/>
                <w:szCs w:val="21"/>
              </w:rPr>
            </w:pPr>
            <w:r>
              <w:rPr>
                <w:rFonts w:hint="eastAsia" w:ascii="宋体" w:hAnsi="宋体" w:cs="宋体"/>
                <w:szCs w:val="21"/>
              </w:rPr>
              <w:t>并明确了协商和参与的主要内容及方式方法，主要为：</w:t>
            </w:r>
          </w:p>
          <w:p>
            <w:pPr>
              <w:spacing w:line="280" w:lineRule="exact"/>
              <w:ind w:firstLine="420" w:firstLineChars="200"/>
              <w:rPr>
                <w:rFonts w:ascii="宋体" w:hAnsi="宋体" w:cs="宋体"/>
                <w:szCs w:val="21"/>
              </w:rPr>
            </w:pPr>
            <w:r>
              <w:rPr>
                <w:rFonts w:hint="eastAsia" w:ascii="宋体" w:hAnsi="宋体" w:cs="宋体"/>
                <w:szCs w:val="21"/>
              </w:rPr>
              <w:t>协商和参与提供必要的机制、时间、培训和资源；及时提供对明确的、易理解的和相关的职业健康安全管理体系信息的访问渠道；</w:t>
            </w:r>
          </w:p>
          <w:p>
            <w:pPr>
              <w:spacing w:line="280" w:lineRule="exact"/>
              <w:ind w:firstLine="420" w:firstLineChars="200"/>
              <w:rPr>
                <w:rFonts w:ascii="宋体" w:hAnsi="宋体" w:cs="宋体"/>
                <w:szCs w:val="21"/>
              </w:rPr>
            </w:pPr>
            <w:r>
              <w:rPr>
                <w:rFonts w:hint="eastAsia" w:ascii="宋体" w:hAnsi="宋体" w:cs="宋体"/>
                <w:szCs w:val="21"/>
              </w:rPr>
              <w:t>主要的沟通协商渠道建立微信群或员工意见箱等内容。</w:t>
            </w:r>
          </w:p>
          <w:p>
            <w:pPr>
              <w:spacing w:line="280" w:lineRule="exact"/>
              <w:ind w:firstLine="420" w:firstLineChars="200"/>
              <w:rPr>
                <w:rFonts w:ascii="宋体" w:hAnsi="宋体" w:cs="宋体"/>
                <w:szCs w:val="21"/>
              </w:rPr>
            </w:pPr>
            <w:r>
              <w:rPr>
                <w:rFonts w:hint="eastAsia" w:ascii="宋体" w:hAnsi="宋体" w:cs="宋体"/>
                <w:szCs w:val="21"/>
              </w:rPr>
              <w:t>通过培训室员工知道自身的权益与义务，更好的参与与保护自身的权益。</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960" w:type="dxa"/>
          </w:tcPr>
          <w:p>
            <w:pPr>
              <w:spacing w:line="280" w:lineRule="exact"/>
              <w:rPr>
                <w:szCs w:val="21"/>
              </w:rPr>
            </w:pPr>
            <w:r>
              <w:rPr>
                <w:szCs w:val="21"/>
              </w:rPr>
              <w:t>Q/E/S</w:t>
            </w:r>
            <w:r>
              <w:rPr>
                <w:rFonts w:hint="eastAsia"/>
                <w:szCs w:val="21"/>
              </w:rPr>
              <w:t>6.2</w:t>
            </w:r>
          </w:p>
          <w:p>
            <w:pPr>
              <w:spacing w:line="280" w:lineRule="exact"/>
              <w:rPr>
                <w:rFonts w:ascii="宋体" w:hAnsi="宋体" w:cs="宋体"/>
                <w:color w:val="FF0000"/>
                <w:szCs w:val="21"/>
              </w:rPr>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公司对管理体系所需的相关职能、层次和过程设定管理目标。在《管理手册》中规划公司的整体管理目标，并以目标管理方法层层展开落实，各部门依据公司整体目标制订相应的管理目标实施方案并统计实绩，根据每年目标达成状况，通过管理审查会议审查评估绩效并制定下一年度的目标。</w:t>
            </w:r>
          </w:p>
          <w:p>
            <w:pPr>
              <w:spacing w:line="280" w:lineRule="exact"/>
              <w:ind w:firstLine="420" w:firstLineChars="200"/>
              <w:rPr>
                <w:rFonts w:ascii="宋体" w:hAnsi="宋体" w:cs="宋体"/>
                <w:szCs w:val="21"/>
              </w:rPr>
            </w:pPr>
            <w:r>
              <w:rPr>
                <w:rFonts w:hint="eastAsia" w:ascii="宋体" w:hAnsi="宋体" w:cs="宋体"/>
                <w:szCs w:val="21"/>
              </w:rPr>
              <w:t>公司对管理体系所需的相关职能、层次和过程设定管理目标。</w:t>
            </w:r>
          </w:p>
          <w:p>
            <w:pPr>
              <w:spacing w:line="280" w:lineRule="exact"/>
              <w:ind w:firstLine="420" w:firstLineChars="200"/>
              <w:rPr>
                <w:rFonts w:ascii="宋体" w:hAnsi="宋体" w:cs="宋体"/>
                <w:szCs w:val="21"/>
              </w:rPr>
            </w:pPr>
            <w:r>
              <w:rPr>
                <w:rFonts w:hint="eastAsia" w:ascii="宋体" w:hAnsi="宋体" w:cs="宋体"/>
                <w:szCs w:val="21"/>
              </w:rPr>
              <w:t>管理目标涉及质量、环境、职业健康安全，具体为：</w:t>
            </w:r>
          </w:p>
          <w:p>
            <w:pPr>
              <w:autoSpaceDE w:val="0"/>
              <w:autoSpaceDN w:val="0"/>
              <w:adjustRightInd w:val="0"/>
              <w:spacing w:line="360" w:lineRule="auto"/>
              <w:ind w:firstLine="422" w:firstLineChars="200"/>
              <w:rPr>
                <w:rFonts w:ascii="华文中宋" w:hAnsi="华文中宋" w:eastAsia="华文中宋" w:cs="宋体"/>
                <w:color w:val="000000"/>
              </w:rPr>
            </w:pPr>
            <w:r>
              <w:rPr>
                <w:rFonts w:hint="eastAsia" w:ascii="华文中宋" w:hAnsi="华文中宋" w:eastAsia="华文中宋" w:cs="宋体"/>
                <w:b/>
                <w:color w:val="000000"/>
              </w:rPr>
              <w:t>质量目标：</w:t>
            </w:r>
            <w:r>
              <w:rPr>
                <w:rFonts w:hint="eastAsia" w:ascii="华文中宋" w:hAnsi="华文中宋" w:eastAsia="华文中宋" w:cs="宋体"/>
                <w:color w:val="000000"/>
              </w:rPr>
              <w:t xml:space="preserve"> </w:t>
            </w:r>
          </w:p>
          <w:p>
            <w:pPr>
              <w:autoSpaceDE w:val="0"/>
              <w:autoSpaceDN w:val="0"/>
              <w:adjustRightInd w:val="0"/>
              <w:spacing w:line="360" w:lineRule="auto"/>
              <w:ind w:firstLine="1736" w:firstLineChars="827"/>
              <w:rPr>
                <w:rFonts w:ascii="华文中宋" w:hAnsi="华文中宋" w:eastAsia="华文中宋" w:cs="宋体"/>
                <w:color w:val="000000"/>
              </w:rPr>
            </w:pPr>
            <w:r>
              <w:rPr>
                <w:rFonts w:hint="eastAsia" w:ascii="华文中宋" w:hAnsi="华文中宋" w:eastAsia="华文中宋" w:cs="宋体"/>
                <w:color w:val="000000"/>
              </w:rPr>
              <w:t>1)</w:t>
            </w:r>
            <w:r>
              <w:rPr>
                <w:rFonts w:hint="eastAsia" w:ascii="华文中宋" w:hAnsi="华文中宋" w:eastAsia="华文中宋" w:cs="宋体"/>
                <w:color w:val="000000"/>
              </w:rPr>
              <w:tab/>
            </w:r>
            <w:r>
              <w:rPr>
                <w:rFonts w:hint="eastAsia" w:ascii="华文中宋" w:hAnsi="华文中宋" w:eastAsia="华文中宋" w:cs="宋体"/>
                <w:color w:val="000000"/>
              </w:rPr>
              <w:t>软件研发合格率100%</w:t>
            </w:r>
          </w:p>
          <w:p>
            <w:pPr>
              <w:autoSpaceDE w:val="0"/>
              <w:autoSpaceDN w:val="0"/>
              <w:adjustRightInd w:val="0"/>
              <w:spacing w:line="360" w:lineRule="auto"/>
              <w:ind w:firstLine="1736" w:firstLineChars="827"/>
              <w:rPr>
                <w:rFonts w:ascii="华文中宋" w:hAnsi="华文中宋" w:eastAsia="华文中宋" w:cs="宋体"/>
                <w:color w:val="000000"/>
              </w:rPr>
            </w:pPr>
            <w:r>
              <w:rPr>
                <w:rFonts w:hint="eastAsia" w:ascii="华文中宋" w:hAnsi="华文中宋" w:eastAsia="华文中宋" w:cs="宋体"/>
                <w:color w:val="000000"/>
              </w:rPr>
              <w:t>2)</w:t>
            </w:r>
            <w:r>
              <w:rPr>
                <w:rFonts w:hint="eastAsia" w:ascii="华文中宋" w:hAnsi="华文中宋" w:eastAsia="华文中宋" w:cs="宋体"/>
                <w:color w:val="000000"/>
              </w:rPr>
              <w:tab/>
            </w:r>
            <w:r>
              <w:rPr>
                <w:rFonts w:hint="eastAsia" w:ascii="华文中宋" w:hAnsi="华文中宋" w:eastAsia="华文中宋" w:cs="宋体"/>
                <w:color w:val="000000"/>
              </w:rPr>
              <w:t>顾客满意程度95%以上。</w:t>
            </w:r>
          </w:p>
          <w:p>
            <w:pPr>
              <w:autoSpaceDE w:val="0"/>
              <w:autoSpaceDN w:val="0"/>
              <w:adjustRightInd w:val="0"/>
              <w:spacing w:line="360" w:lineRule="auto"/>
              <w:ind w:firstLine="1736" w:firstLineChars="827"/>
              <w:rPr>
                <w:rFonts w:ascii="华文中宋" w:hAnsi="华文中宋" w:eastAsia="华文中宋" w:cs="宋体"/>
                <w:color w:val="000000"/>
              </w:rPr>
            </w:pPr>
            <w:r>
              <w:rPr>
                <w:rFonts w:hint="eastAsia" w:ascii="华文中宋" w:hAnsi="华文中宋" w:eastAsia="华文中宋" w:cs="宋体"/>
                <w:color w:val="000000"/>
              </w:rPr>
              <w:t>3)</w:t>
            </w:r>
            <w:r>
              <w:rPr>
                <w:rFonts w:hint="eastAsia" w:ascii="华文中宋" w:hAnsi="华文中宋" w:eastAsia="华文中宋" w:cs="宋体"/>
                <w:color w:val="000000"/>
              </w:rPr>
              <w:tab/>
            </w:r>
            <w:r>
              <w:rPr>
                <w:rFonts w:hint="eastAsia" w:ascii="华文中宋" w:hAnsi="华文中宋" w:eastAsia="华文中宋" w:cs="宋体"/>
                <w:color w:val="000000"/>
              </w:rPr>
              <w:t>产品交付及时率100%</w:t>
            </w:r>
          </w:p>
          <w:p>
            <w:pPr>
              <w:autoSpaceDE w:val="0"/>
              <w:autoSpaceDN w:val="0"/>
              <w:adjustRightInd w:val="0"/>
              <w:ind w:firstLine="422" w:firstLineChars="200"/>
              <w:rPr>
                <w:rFonts w:ascii="华文中宋" w:hAnsi="华文中宋" w:eastAsia="华文中宋" w:cs="宋体"/>
                <w:color w:val="000000"/>
                <w:kern w:val="0"/>
              </w:rPr>
            </w:pPr>
            <w:r>
              <w:rPr>
                <w:rFonts w:hint="eastAsia" w:ascii="华文中宋" w:hAnsi="华文中宋" w:eastAsia="华文中宋" w:cs="宋体"/>
                <w:b/>
                <w:color w:val="000000"/>
              </w:rPr>
              <w:t xml:space="preserve">    环境目标：1）</w:t>
            </w:r>
            <w:r>
              <w:rPr>
                <w:rFonts w:hint="eastAsia" w:ascii="华文中宋" w:hAnsi="华文中宋" w:eastAsia="华文中宋" w:cs="宋体"/>
                <w:color w:val="000000"/>
                <w:kern w:val="0"/>
              </w:rPr>
              <w:t>固体废弃物100%分类，合理处理；</w:t>
            </w:r>
          </w:p>
          <w:p>
            <w:pPr>
              <w:widowControl/>
              <w:spacing w:before="100" w:beforeAutospacing="1" w:after="100" w:afterAutospacing="1"/>
              <w:ind w:firstLine="420" w:firstLineChars="200"/>
              <w:jc w:val="left"/>
              <w:rPr>
                <w:rFonts w:ascii="华文中宋" w:hAnsi="华文中宋" w:eastAsia="华文中宋" w:cs="宋体"/>
                <w:color w:val="000000"/>
                <w:kern w:val="0"/>
              </w:rPr>
            </w:pPr>
            <w:r>
              <w:rPr>
                <w:rFonts w:hint="eastAsia" w:ascii="华文中宋" w:hAnsi="华文中宋" w:eastAsia="华文中宋" w:cs="宋体"/>
                <w:color w:val="000000"/>
                <w:kern w:val="0"/>
              </w:rPr>
              <w:t xml:space="preserve">              2）环境污染事故发生率为零</w:t>
            </w:r>
          </w:p>
          <w:p>
            <w:pPr>
              <w:widowControl/>
              <w:spacing w:before="100" w:beforeAutospacing="1" w:after="100" w:afterAutospacing="1" w:line="400" w:lineRule="exact"/>
              <w:ind w:firstLine="422" w:firstLineChars="200"/>
              <w:jc w:val="left"/>
              <w:rPr>
                <w:rFonts w:ascii="华文中宋" w:hAnsi="华文中宋" w:eastAsia="华文中宋" w:cs="宋体"/>
                <w:color w:val="000000"/>
              </w:rPr>
            </w:pPr>
            <w:r>
              <w:rPr>
                <w:rFonts w:hint="eastAsia" w:ascii="华文中宋" w:hAnsi="华文中宋" w:eastAsia="华文中宋"/>
                <w:b/>
                <w:color w:val="000000"/>
              </w:rPr>
              <w:t xml:space="preserve">    职</w:t>
            </w:r>
            <w:r>
              <w:rPr>
                <w:rFonts w:hint="eastAsia" w:ascii="华文中宋" w:hAnsi="华文中宋" w:eastAsia="华文中宋" w:cs="宋体"/>
                <w:b/>
                <w:color w:val="000000"/>
              </w:rPr>
              <w:t>业健康安全目标和指标：1）</w:t>
            </w:r>
            <w:r>
              <w:rPr>
                <w:rFonts w:hint="eastAsia" w:ascii="华文中宋" w:hAnsi="华文中宋" w:eastAsia="华文中宋" w:cs="宋体"/>
                <w:color w:val="000000"/>
              </w:rPr>
              <w:t xml:space="preserve">各类重伤以上事故发生率为零； </w:t>
            </w:r>
          </w:p>
          <w:p>
            <w:pPr>
              <w:widowControl/>
              <w:spacing w:before="100" w:beforeAutospacing="1" w:after="100" w:afterAutospacing="1" w:line="400" w:lineRule="exact"/>
              <w:ind w:firstLine="420" w:firstLineChars="200"/>
              <w:jc w:val="left"/>
              <w:rPr>
                <w:rFonts w:ascii="华文中宋" w:hAnsi="华文中宋" w:eastAsia="华文中宋" w:cs="宋体"/>
                <w:color w:val="FF0000"/>
              </w:rPr>
            </w:pPr>
            <w:r>
              <w:rPr>
                <w:rFonts w:hint="eastAsia" w:ascii="华文中宋" w:hAnsi="华文中宋" w:eastAsia="华文中宋" w:cs="宋体"/>
                <w:color w:val="000000"/>
              </w:rPr>
              <w:t xml:space="preserve">                             2）火灾事故发生率为零。</w:t>
            </w:r>
          </w:p>
          <w:p>
            <w:pPr>
              <w:pStyle w:val="7"/>
            </w:pPr>
          </w:p>
          <w:p>
            <w:pPr>
              <w:spacing w:line="280" w:lineRule="exact"/>
              <w:ind w:firstLine="420" w:firstLineChars="200"/>
              <w:rPr>
                <w:rFonts w:ascii="宋体" w:hAnsi="宋体" w:cs="宋体"/>
                <w:szCs w:val="21"/>
              </w:rPr>
            </w:pPr>
            <w:r>
              <w:rPr>
                <w:rFonts w:hint="eastAsia" w:ascii="宋体" w:hAnsi="宋体" w:cs="宋体"/>
                <w:szCs w:val="21"/>
              </w:rPr>
              <w:t>目标可测量，与公司管理方针一致。</w:t>
            </w:r>
          </w:p>
          <w:p>
            <w:pPr>
              <w:spacing w:line="280" w:lineRule="exact"/>
              <w:ind w:firstLine="420" w:firstLineChars="200"/>
              <w:rPr>
                <w:rFonts w:ascii="宋体" w:hAnsi="宋体" w:cs="宋体"/>
                <w:szCs w:val="21"/>
              </w:rPr>
            </w:pPr>
            <w:r>
              <w:rPr>
                <w:rFonts w:hint="eastAsia" w:ascii="宋体" w:hAnsi="宋体" w:cs="宋体"/>
                <w:szCs w:val="21"/>
              </w:rPr>
              <w:t>每季度由综合部按公司管理目标考核要求统计考核公司管理目标完成情况，提交管理评审会议。查到今年第一季度公司管理目标完成情况，各项目标均已完成，编制：综合部   审核：杨云博   批准：周坤</w:t>
            </w:r>
          </w:p>
          <w:p>
            <w:pPr>
              <w:spacing w:line="280" w:lineRule="exact"/>
              <w:ind w:firstLine="420" w:firstLineChars="200"/>
              <w:rPr>
                <w:rFonts w:ascii="宋体" w:hAnsi="宋体" w:cs="宋体"/>
                <w:kern w:val="0"/>
                <w:szCs w:val="21"/>
              </w:rPr>
            </w:pPr>
            <w:r>
              <w:rPr>
                <w:rFonts w:hint="eastAsia" w:ascii="宋体" w:hAnsi="宋体" w:cs="宋体"/>
                <w:szCs w:val="21"/>
              </w:rPr>
              <w:t>针对重要环境因素、不可接受风险制订了管理方案并予以实施，基本有效，详见项目部该条款审核记录。</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80" w:lineRule="exact"/>
              <w:rPr>
                <w:rFonts w:ascii="宋体" w:hAnsi="宋体" w:cs="宋体"/>
                <w:szCs w:val="21"/>
              </w:rPr>
            </w:pPr>
            <w:r>
              <w:rPr>
                <w:rFonts w:hint="eastAsia" w:ascii="宋体" w:hAnsi="宋体" w:cs="宋体"/>
                <w:szCs w:val="21"/>
              </w:rPr>
              <w:t>资源、总则</w:t>
            </w:r>
          </w:p>
          <w:p>
            <w:pPr>
              <w:spacing w:line="280" w:lineRule="exact"/>
              <w:rPr>
                <w:rFonts w:ascii="宋体" w:hAnsi="宋体" w:cs="宋体"/>
                <w:szCs w:val="21"/>
              </w:rPr>
            </w:pPr>
          </w:p>
        </w:tc>
        <w:tc>
          <w:tcPr>
            <w:tcW w:w="960" w:type="dxa"/>
          </w:tcPr>
          <w:p>
            <w:pPr>
              <w:spacing w:line="280" w:lineRule="exact"/>
              <w:rPr>
                <w:szCs w:val="21"/>
              </w:rPr>
            </w:pPr>
            <w:r>
              <w:rPr>
                <w:szCs w:val="21"/>
              </w:rPr>
              <w:t>Q/E/S</w:t>
            </w:r>
            <w:r>
              <w:rPr>
                <w:rFonts w:hint="eastAsia"/>
                <w:szCs w:val="21"/>
              </w:rPr>
              <w:t>7.1</w:t>
            </w:r>
          </w:p>
          <w:p>
            <w:pPr>
              <w:spacing w:line="280" w:lineRule="exact"/>
              <w:rPr>
                <w:rFonts w:ascii="宋体" w:hAnsi="宋体" w:cs="宋体"/>
                <w:color w:val="FF0000"/>
                <w:szCs w:val="21"/>
              </w:rPr>
            </w:pPr>
          </w:p>
        </w:tc>
        <w:tc>
          <w:tcPr>
            <w:tcW w:w="10943" w:type="dxa"/>
            <w:vAlign w:val="center"/>
          </w:tcPr>
          <w:p>
            <w:pPr>
              <w:pStyle w:val="7"/>
              <w:rPr>
                <w:rFonts w:ascii="宋体" w:hAnsi="宋体" w:cs="宋体"/>
                <w:szCs w:val="21"/>
              </w:rPr>
            </w:pPr>
            <w:r>
              <w:rPr>
                <w:rFonts w:hint="eastAsia" w:ascii="宋体" w:hAnsi="宋体" w:cs="宋体"/>
                <w:szCs w:val="21"/>
              </w:rPr>
              <w:t>查公司配备的人力资源，公司总人数9人.</w:t>
            </w:r>
          </w:p>
          <w:p>
            <w:pPr>
              <w:pStyle w:val="7"/>
            </w:pPr>
            <w:r>
              <w:rPr>
                <w:rFonts w:hint="eastAsia" w:ascii="宋体" w:hAnsi="宋体" w:cs="宋体"/>
                <w:szCs w:val="21"/>
              </w:rPr>
              <w:t>基础设施：台式机笔记本电脑、打印机等设施等，规范文件、资金等必要的资源，能够持续满足顾客需求和管理体系改进的需要。</w:t>
            </w:r>
            <w:r>
              <w:rPr>
                <w:rFonts w:hint="eastAsia"/>
              </w:rPr>
              <w:t>公司对员工涉及的职业健康安全提供必要的资源，如体系标准及法律法规的培训，疫情期间提供口罩等。</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2160" w:type="dxa"/>
            <w:vAlign w:val="center"/>
          </w:tcPr>
          <w:p>
            <w:pPr>
              <w:rPr>
                <w:rFonts w:ascii="宋体" w:hAnsi="宋体" w:cs="宋体"/>
                <w:szCs w:val="21"/>
              </w:rPr>
            </w:pPr>
            <w:r>
              <w:rPr>
                <w:rFonts w:hint="eastAsia" w:asciiTheme="minorEastAsia" w:hAnsiTheme="minorEastAsia" w:eastAsiaTheme="minorEastAsia" w:cstheme="minorEastAsia"/>
                <w:szCs w:val="21"/>
              </w:rPr>
              <w:t>绩效测量和监视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w:t>
            </w:r>
            <w:r>
              <w:rPr>
                <w:rFonts w:asciiTheme="minorEastAsia" w:hAnsiTheme="minorEastAsia" w:eastAsiaTheme="minorEastAsia" w:cstheme="minorEastAsia"/>
                <w:szCs w:val="21"/>
              </w:rPr>
              <w:t>/E/</w:t>
            </w:r>
            <w:r>
              <w:rPr>
                <w:rFonts w:hint="eastAsia" w:asciiTheme="minorEastAsia" w:hAnsiTheme="minorEastAsia" w:eastAsiaTheme="minorEastAsia" w:cstheme="minorEastAsia"/>
                <w:szCs w:val="21"/>
              </w:rPr>
              <w:t>S:</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9.1.1</w:t>
            </w:r>
          </w:p>
          <w:p/>
        </w:tc>
        <w:tc>
          <w:tcPr>
            <w:tcW w:w="10943"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公司编制了《顾客满意度控制程序》，对清洁服务的质量特性进行监视和测量，以验证其符合要求的程度，确保服务符合要求。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公司制定《内部审核控制程序》 、《管理评审控制程序》 和《数据分析控制程序》为保证公司质量管理体系的有效运行，通过对管理绩效的监视与测量，确保体系运行的有效性。</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查阅“部门质量目标策划及考核记录表”，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提供管理目标指标的检查考核工作，均完成目标考核要求。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查阅“环境和职业健康安全目标指标完成情况检查表”，体系建立至今共进行的管理目标指标的检查考核工作，均完成目标考核要求。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环境和职业健康安全运行管理检查情况：抽查2020.0</w:t>
            </w:r>
            <w:r>
              <w:rPr>
                <w:rFonts w:asciiTheme="minorEastAsia" w:hAnsiTheme="minorEastAsia" w:eastAsiaTheme="minorEastAsia" w:cstheme="minorEastAsia"/>
                <w:szCs w:val="21"/>
              </w:rPr>
              <w:t>4</w:t>
            </w:r>
            <w:r>
              <w:rPr>
                <w:rFonts w:hint="eastAsia" w:asciiTheme="minorEastAsia" w:hAnsiTheme="minorEastAsia" w:eastAsiaTheme="minorEastAsia" w:cstheme="minorEastAsia"/>
                <w:szCs w:val="21"/>
              </w:rPr>
              <w:t>.10管理检查记录，主控部门：综合部，检查人：杨云博 ，对固废收集、节约能源等方面进行检查、劳保用品发放、安全管理进行检查，一切正常。</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查公司为员工购买有养老等保险，提供购买证据。</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外部对公司质量和安全管理要求一般口头交流；对供应商及客户等相关方有“相关方告知书”等。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目前未发现公司出现违规现象。无被动性绩效的监视和测量。</w:t>
            </w:r>
          </w:p>
          <w:p>
            <w:pPr>
              <w:pStyle w:val="7"/>
            </w:pPr>
            <w:r>
              <w:rPr>
                <w:rFonts w:hint="eastAsia" w:asciiTheme="minorEastAsia" w:hAnsiTheme="minorEastAsia" w:eastAsiaTheme="minorEastAsia" w:cstheme="minorEastAsia"/>
                <w:szCs w:val="21"/>
              </w:rPr>
              <w:t>公司不需要对环境影响的运行的关键特性和职业健康安全绩效进行监测和测量的设备。</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2160" w:type="dxa"/>
          </w:tcPr>
          <w:p>
            <w:pPr>
              <w:spacing w:line="280" w:lineRule="exact"/>
              <w:rPr>
                <w:rFonts w:ascii="宋体" w:hAnsi="宋体" w:cs="宋体"/>
                <w:szCs w:val="21"/>
              </w:rPr>
            </w:pPr>
            <w:r>
              <w:rPr>
                <w:rFonts w:hint="eastAsia" w:ascii="宋体" w:hAnsi="宋体" w:cs="宋体"/>
                <w:szCs w:val="21"/>
              </w:rPr>
              <w:t>管理评审</w:t>
            </w:r>
          </w:p>
          <w:p>
            <w:pPr>
              <w:spacing w:line="280" w:lineRule="exact"/>
              <w:rPr>
                <w:rFonts w:ascii="宋体" w:hAnsi="宋体" w:cs="宋体"/>
                <w:szCs w:val="21"/>
              </w:rPr>
            </w:pPr>
          </w:p>
        </w:tc>
        <w:tc>
          <w:tcPr>
            <w:tcW w:w="960" w:type="dxa"/>
          </w:tcPr>
          <w:p>
            <w:pPr>
              <w:spacing w:line="280" w:lineRule="exact"/>
              <w:rPr>
                <w:szCs w:val="21"/>
              </w:rPr>
            </w:pPr>
            <w:r>
              <w:rPr>
                <w:szCs w:val="21"/>
              </w:rPr>
              <w:t>Q/E/S</w:t>
            </w:r>
            <w:r>
              <w:rPr>
                <w:rFonts w:hint="eastAsia"/>
                <w:szCs w:val="21"/>
              </w:rPr>
              <w:t>9.3</w:t>
            </w:r>
          </w:p>
          <w:p>
            <w:pPr>
              <w:spacing w:line="280" w:lineRule="exact"/>
              <w:rPr>
                <w:szCs w:val="21"/>
              </w:rPr>
            </w:pPr>
          </w:p>
          <w:p>
            <w:pPr>
              <w:spacing w:line="280" w:lineRule="exact"/>
              <w:rPr>
                <w:rFonts w:ascii="宋体" w:hAnsi="宋体" w:cs="宋体"/>
                <w:szCs w:val="21"/>
              </w:rPr>
            </w:pPr>
          </w:p>
        </w:tc>
        <w:tc>
          <w:tcPr>
            <w:tcW w:w="10943" w:type="dxa"/>
            <w:vAlign w:val="center"/>
          </w:tcPr>
          <w:p>
            <w:pPr>
              <w:spacing w:line="280" w:lineRule="exact"/>
              <w:ind w:firstLine="420" w:firstLineChars="200"/>
            </w:pPr>
            <w:r>
              <w:rPr>
                <w:rFonts w:hint="eastAsia"/>
              </w:rPr>
              <w:t>公司编制并实施《管理评审程序》，规定管理评审每年进行一次，由周坤总经理决定是否增加管理评审的频次。</w:t>
            </w:r>
          </w:p>
          <w:p>
            <w:pPr>
              <w:spacing w:line="280" w:lineRule="exact"/>
              <w:ind w:firstLine="420" w:firstLineChars="200"/>
            </w:pPr>
            <w:r>
              <w:rPr>
                <w:rFonts w:hint="eastAsia"/>
              </w:rPr>
              <w:t>查策划：在《管理评审程序》中明确了管理评审的实施要求。策划每年进行一次管理评审，间隔不超过12个月。</w:t>
            </w:r>
          </w:p>
          <w:p>
            <w:pPr>
              <w:spacing w:line="280" w:lineRule="exact"/>
              <w:ind w:firstLine="420" w:firstLineChars="200"/>
            </w:pPr>
            <w:r>
              <w:rPr>
                <w:rFonts w:hint="eastAsia"/>
              </w:rPr>
              <w:t>查阅公司管理评审资料，提供：</w:t>
            </w:r>
          </w:p>
          <w:p>
            <w:pPr>
              <w:spacing w:line="280" w:lineRule="exact"/>
              <w:ind w:firstLine="420" w:firstLineChars="200"/>
            </w:pPr>
            <w:r>
              <w:rPr>
                <w:rFonts w:hint="eastAsia"/>
              </w:rPr>
              <w:t>1.管理评审计划</w:t>
            </w:r>
          </w:p>
          <w:p>
            <w:pPr>
              <w:spacing w:line="280" w:lineRule="exact"/>
              <w:ind w:firstLine="420" w:firstLineChars="200"/>
            </w:pPr>
            <w:r>
              <w:rPr>
                <w:rFonts w:hint="eastAsia"/>
              </w:rPr>
              <w:t>评审时间：计划2020年0</w:t>
            </w:r>
            <w:r>
              <w:t>8</w:t>
            </w:r>
            <w:r>
              <w:rPr>
                <w:rFonts w:hint="eastAsia"/>
              </w:rPr>
              <w:t>月2</w:t>
            </w:r>
            <w:r>
              <w:t>0</w:t>
            </w:r>
            <w:r>
              <w:rPr>
                <w:rFonts w:hint="eastAsia"/>
              </w:rPr>
              <w:t>日进行，初审无间隔要求，评审方式：会议评审， 拟稿综合部  ，签发：周坤，参加人员包括公司总经理、管理者代表、各部门负责人，计划中明确了评审内容和资料准备要求。</w:t>
            </w:r>
          </w:p>
          <w:p>
            <w:pPr>
              <w:spacing w:line="280" w:lineRule="exact"/>
              <w:ind w:firstLine="420" w:firstLineChars="200"/>
            </w:pPr>
            <w:r>
              <w:rPr>
                <w:rFonts w:hint="eastAsia"/>
              </w:rPr>
              <w:t>2.管理评审会议记录</w:t>
            </w:r>
          </w:p>
          <w:p>
            <w:pPr>
              <w:spacing w:line="280" w:lineRule="exact"/>
              <w:ind w:firstLine="420" w:firstLineChars="200"/>
            </w:pPr>
            <w:r>
              <w:rPr>
                <w:rFonts w:hint="eastAsia"/>
              </w:rPr>
              <w:t>按计划的时间实施了管理评审。管理评审内容包括：管理方针、目标的适宜行和实现情况；管理体系的符合性；内审结果；内外部环境分析及风险应对措施的落实情况；纠正预防措施及持续改进能力；重要环境因素和不可接受风险控制及效果；合规性评价；可能影响管理体系的变更；质量事故、顾客满意度；改进建议等；</w:t>
            </w:r>
          </w:p>
          <w:p>
            <w:pPr>
              <w:spacing w:line="280" w:lineRule="exact"/>
              <w:ind w:firstLine="420" w:firstLineChars="200"/>
            </w:pPr>
            <w:r>
              <w:rPr>
                <w:rFonts w:hint="eastAsia"/>
              </w:rPr>
              <w:t>3.管理评审报告</w:t>
            </w:r>
          </w:p>
          <w:p>
            <w:pPr>
              <w:spacing w:line="280" w:lineRule="exact"/>
              <w:ind w:firstLine="420" w:firstLineChars="200"/>
            </w:pPr>
            <w:r>
              <w:rPr>
                <w:rFonts w:hint="eastAsia"/>
              </w:rPr>
              <w:t>管理评审结论：公司各部门基本按照管理体系标准要求实施已初步取得良好的效果。公司方针、目标及管理方案、管理体系文件环境、职业健康安全控制等符合公司目前发展状况，所配备的各类资源基本满足管理体系要求。公司环境、职业健康安全管理体系基本是充分、有效和适宜的。</w:t>
            </w:r>
          </w:p>
          <w:p>
            <w:pPr>
              <w:spacing w:line="280" w:lineRule="exact"/>
              <w:ind w:firstLine="420" w:firstLineChars="200"/>
            </w:pPr>
            <w:r>
              <w:rPr>
                <w:rFonts w:hint="eastAsia"/>
              </w:rPr>
              <w:t>4.改进计划</w:t>
            </w:r>
          </w:p>
          <w:p>
            <w:pPr>
              <w:pStyle w:val="7"/>
            </w:pPr>
            <w:r>
              <w:rPr>
                <w:rFonts w:hint="eastAsia"/>
              </w:rPr>
              <w:t>2020年0</w:t>
            </w:r>
            <w:r>
              <w:t>8</w:t>
            </w:r>
            <w:r>
              <w:rPr>
                <w:rFonts w:hint="eastAsia"/>
              </w:rPr>
              <w:t>月3</w:t>
            </w:r>
            <w:r>
              <w:t>0</w:t>
            </w:r>
            <w:r>
              <w:rPr>
                <w:rFonts w:hint="eastAsia"/>
              </w:rPr>
              <w:t>日发起针对“管理手册”、“控制程序”、“管理制度”等体系的文件学习的培训。由周坤、杨云博、付博等参加。</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2160" w:type="dxa"/>
            <w:vAlign w:val="top"/>
          </w:tcPr>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是否具备二阶段审核结论</w:t>
            </w:r>
          </w:p>
          <w:p>
            <w:pPr>
              <w:tabs>
                <w:tab w:val="left" w:pos="7380"/>
              </w:tabs>
              <w:rPr>
                <w:rFonts w:hint="eastAsia" w:ascii="宋体" w:hAnsi="宋体" w:eastAsia="宋体" w:cs="Tahoma"/>
                <w:szCs w:val="21"/>
                <w:lang w:val="en-US" w:eastAsia="zh-CN"/>
              </w:rPr>
            </w:pPr>
          </w:p>
          <w:p>
            <w:pPr>
              <w:tabs>
                <w:tab w:val="left" w:pos="7380"/>
              </w:tabs>
              <w:rPr>
                <w:rFonts w:hint="eastAsia" w:ascii="宋体" w:hAnsi="宋体" w:eastAsia="宋体" w:cs="Tahoma"/>
                <w:kern w:val="2"/>
                <w:sz w:val="21"/>
                <w:szCs w:val="21"/>
                <w:lang w:val="en-US" w:eastAsia="zh-CN" w:bidi="ar-SA"/>
              </w:rPr>
            </w:pPr>
            <w:r>
              <w:rPr>
                <w:rFonts w:hint="eastAsia" w:ascii="宋体" w:hAnsi="宋体" w:eastAsia="宋体" w:cs="Tahoma"/>
                <w:szCs w:val="21"/>
                <w:lang w:val="en-US" w:eastAsia="zh-CN"/>
              </w:rPr>
              <w:t>第二阶段重要审核点等相关内容</w:t>
            </w:r>
          </w:p>
        </w:tc>
        <w:tc>
          <w:tcPr>
            <w:tcW w:w="960" w:type="dxa"/>
            <w:vAlign w:val="top"/>
          </w:tcPr>
          <w:p>
            <w:pPr>
              <w:tabs>
                <w:tab w:val="left" w:pos="7380"/>
              </w:tabs>
              <w:rPr>
                <w:rFonts w:hint="eastAsia" w:ascii="宋体" w:hAnsi="宋体" w:eastAsia="宋体" w:cs="Tahoma"/>
                <w:kern w:val="2"/>
                <w:sz w:val="21"/>
                <w:szCs w:val="21"/>
                <w:lang w:val="en-US" w:eastAsia="zh-CN" w:bidi="ar-SA"/>
              </w:rPr>
            </w:pPr>
          </w:p>
        </w:tc>
        <w:tc>
          <w:tcPr>
            <w:tcW w:w="10943" w:type="dxa"/>
            <w:vAlign w:val="top"/>
          </w:tcPr>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通过一阶段对受审核方的管理、服务及销售巡视和观察，对管理体系绩效要求有重大影响的过程、活动、场所和现场运行进行观察、巡视及总体性评价，组织具备二阶段审核条件，可进行二阶段审核。</w:t>
            </w:r>
          </w:p>
          <w:p>
            <w:pPr>
              <w:tabs>
                <w:tab w:val="left" w:pos="7380"/>
              </w:tabs>
              <w:rPr>
                <w:rFonts w:hint="eastAsia" w:ascii="宋体" w:hAnsi="宋体" w:eastAsia="宋体" w:cs="Tahoma"/>
                <w:szCs w:val="21"/>
                <w:lang w:val="en-US" w:eastAsia="zh-CN"/>
              </w:rPr>
            </w:pPr>
          </w:p>
          <w:p>
            <w:pPr>
              <w:tabs>
                <w:tab w:val="left" w:pos="7380"/>
              </w:tabs>
              <w:rPr>
                <w:rFonts w:hint="default" w:ascii="宋体" w:hAnsi="宋体" w:eastAsia="宋体" w:cs="Tahoma"/>
                <w:szCs w:val="21"/>
                <w:lang w:val="en-US" w:eastAsia="zh-CN"/>
              </w:rPr>
            </w:pPr>
            <w:r>
              <w:rPr>
                <w:rFonts w:hint="eastAsia" w:ascii="宋体" w:hAnsi="宋体" w:eastAsia="宋体" w:cs="Tahoma"/>
                <w:szCs w:val="21"/>
                <w:lang w:val="en-US" w:eastAsia="zh-CN"/>
              </w:rPr>
              <w:t>二阶段重点审核：</w:t>
            </w:r>
          </w:p>
          <w:p>
            <w:pPr>
              <w:tabs>
                <w:tab w:val="left" w:pos="7380"/>
              </w:tabs>
              <w:rPr>
                <w:rFonts w:hint="default" w:ascii="宋体" w:hAnsi="宋体" w:eastAsia="宋体" w:cs="Tahoma"/>
                <w:szCs w:val="21"/>
                <w:lang w:val="en-US" w:eastAsia="zh-CN"/>
              </w:rPr>
            </w:pPr>
            <w:r>
              <w:rPr>
                <w:rFonts w:hint="eastAsia" w:ascii="宋体" w:hAnsi="宋体" w:eastAsia="宋体" w:cs="Tahoma"/>
                <w:szCs w:val="21"/>
                <w:lang w:val="en-US" w:eastAsia="zh-CN"/>
              </w:rPr>
              <w:t>Q:技术服务控制过程、销售过程、采购过程、检验过程等</w:t>
            </w:r>
          </w:p>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E:环境因素识别、重要环境因素管理方案、相关方的信息沟通、应急准备和响应控制措施等</w:t>
            </w:r>
          </w:p>
          <w:p>
            <w:pPr>
              <w:pStyle w:val="7"/>
              <w:rPr>
                <w:rFonts w:hint="default"/>
                <w:lang w:val="en-US" w:eastAsia="zh-CN"/>
              </w:rPr>
            </w:pPr>
            <w:r>
              <w:rPr>
                <w:rFonts w:hint="eastAsia" w:ascii="宋体" w:hAnsi="宋体" w:cs="Tahoma"/>
                <w:szCs w:val="21"/>
                <w:lang w:val="en-US" w:eastAsia="zh-CN"/>
              </w:rPr>
              <w:t>O:危险源辨识、不可接受风险识别及管理方案、</w:t>
            </w:r>
            <w:r>
              <w:rPr>
                <w:rFonts w:hint="eastAsia" w:ascii="宋体" w:hAnsi="宋体" w:eastAsia="宋体" w:cs="Tahoma"/>
                <w:szCs w:val="21"/>
                <w:lang w:val="en-US" w:eastAsia="zh-CN"/>
              </w:rPr>
              <w:t>相关方的信息沟通、应急准备和响应控制措施等</w:t>
            </w:r>
          </w:p>
          <w:p>
            <w:pPr>
              <w:tabs>
                <w:tab w:val="left" w:pos="7380"/>
              </w:tabs>
              <w:rPr>
                <w:rFonts w:hint="default" w:ascii="宋体" w:hAnsi="宋体" w:eastAsia="宋体" w:cs="Tahoma"/>
                <w:szCs w:val="21"/>
                <w:lang w:val="en-US" w:eastAsia="zh-CN"/>
              </w:rPr>
            </w:pPr>
            <w:r>
              <w:rPr>
                <w:rFonts w:hint="eastAsia" w:ascii="宋体" w:hAnsi="宋体" w:eastAsia="宋体" w:cs="Tahoma"/>
                <w:szCs w:val="21"/>
                <w:lang w:val="en-US" w:eastAsia="zh-CN"/>
              </w:rPr>
              <w:t>重点审核部门：综合部、</w:t>
            </w:r>
            <w:r>
              <w:rPr>
                <w:rFonts w:hint="eastAsia" w:ascii="宋体" w:hAnsi="宋体" w:cs="Tahoma"/>
                <w:szCs w:val="21"/>
                <w:lang w:val="en-US" w:eastAsia="zh-CN"/>
              </w:rPr>
              <w:t>技术部</w:t>
            </w:r>
          </w:p>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重点审核过程：环境因素识别、风险识别评价、运行过程、监视和测量、不符合控制、合规性评价等。</w:t>
            </w:r>
          </w:p>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重点审核场所：技术服务场所、销售场所、办公场所。</w:t>
            </w:r>
          </w:p>
          <w:p>
            <w:pPr>
              <w:tabs>
                <w:tab w:val="left" w:pos="7380"/>
              </w:tabs>
              <w:rPr>
                <w:rFonts w:hint="eastAsia" w:ascii="宋体" w:hAnsi="宋体" w:eastAsia="宋体" w:cs="Tahoma"/>
                <w:kern w:val="2"/>
                <w:sz w:val="21"/>
                <w:szCs w:val="21"/>
                <w:lang w:val="en-US" w:eastAsia="zh-CN" w:bidi="ar-SA"/>
              </w:rPr>
            </w:pPr>
            <w:r>
              <w:rPr>
                <w:rFonts w:hint="eastAsia" w:ascii="宋体" w:hAnsi="宋体" w:eastAsia="宋体" w:cs="Tahoma"/>
                <w:szCs w:val="21"/>
                <w:lang w:val="en-US" w:eastAsia="zh-CN"/>
              </w:rPr>
              <w:t>审核时间：2020.</w:t>
            </w:r>
            <w:r>
              <w:rPr>
                <w:rFonts w:hint="eastAsia" w:ascii="宋体" w:hAnsi="宋体" w:cs="Tahoma"/>
                <w:szCs w:val="21"/>
                <w:lang w:val="en-US" w:eastAsia="zh-CN"/>
              </w:rPr>
              <w:t>11.27-28</w:t>
            </w:r>
          </w:p>
        </w:tc>
        <w:tc>
          <w:tcPr>
            <w:tcW w:w="646" w:type="dxa"/>
          </w:tcPr>
          <w:p>
            <w:pPr>
              <w:rPr>
                <w:rFonts w:ascii="宋体" w:hAnsi="宋体" w:cs="宋体"/>
                <w:szCs w:val="21"/>
              </w:rPr>
            </w:pPr>
          </w:p>
        </w:tc>
      </w:tr>
    </w:tbl>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rPr>
        <w:lang w:val="en-GB"/>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1"/>
      </w:pBdr>
      <w:spacing w:line="320" w:lineRule="exact"/>
      <w:jc w:val="left"/>
    </w:pPr>
    <w:r>
      <w:pict>
        <v:shape id="文本框 1" o:spid="_x0000_s2050"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756AF"/>
    <w:rsid w:val="001A2D7F"/>
    <w:rsid w:val="001C5D0F"/>
    <w:rsid w:val="002619E9"/>
    <w:rsid w:val="00337922"/>
    <w:rsid w:val="00340867"/>
    <w:rsid w:val="00380837"/>
    <w:rsid w:val="00386B12"/>
    <w:rsid w:val="003A198A"/>
    <w:rsid w:val="00410914"/>
    <w:rsid w:val="005001B9"/>
    <w:rsid w:val="00536930"/>
    <w:rsid w:val="00552276"/>
    <w:rsid w:val="00564E53"/>
    <w:rsid w:val="005B1D35"/>
    <w:rsid w:val="005B6C0E"/>
    <w:rsid w:val="005C526D"/>
    <w:rsid w:val="005D65C9"/>
    <w:rsid w:val="005E2B6D"/>
    <w:rsid w:val="00630243"/>
    <w:rsid w:val="00644FE2"/>
    <w:rsid w:val="0067640C"/>
    <w:rsid w:val="0069544D"/>
    <w:rsid w:val="006E678B"/>
    <w:rsid w:val="007757F3"/>
    <w:rsid w:val="007E6AEB"/>
    <w:rsid w:val="007F524D"/>
    <w:rsid w:val="008078E9"/>
    <w:rsid w:val="00886C4E"/>
    <w:rsid w:val="008973EE"/>
    <w:rsid w:val="00916208"/>
    <w:rsid w:val="009529C4"/>
    <w:rsid w:val="00955278"/>
    <w:rsid w:val="00971600"/>
    <w:rsid w:val="009973B4"/>
    <w:rsid w:val="009A18F4"/>
    <w:rsid w:val="009A2DE9"/>
    <w:rsid w:val="009C28C1"/>
    <w:rsid w:val="009F7EED"/>
    <w:rsid w:val="00A07063"/>
    <w:rsid w:val="00A53A38"/>
    <w:rsid w:val="00AF0AAB"/>
    <w:rsid w:val="00B740E7"/>
    <w:rsid w:val="00BB19D7"/>
    <w:rsid w:val="00BD32F3"/>
    <w:rsid w:val="00BF597E"/>
    <w:rsid w:val="00C51A36"/>
    <w:rsid w:val="00C55228"/>
    <w:rsid w:val="00C952AC"/>
    <w:rsid w:val="00CE315A"/>
    <w:rsid w:val="00D06F59"/>
    <w:rsid w:val="00D70DF1"/>
    <w:rsid w:val="00D8388C"/>
    <w:rsid w:val="00E33F49"/>
    <w:rsid w:val="00E743B5"/>
    <w:rsid w:val="00EB0164"/>
    <w:rsid w:val="00EC19AF"/>
    <w:rsid w:val="00ED0F62"/>
    <w:rsid w:val="00ED5AE9"/>
    <w:rsid w:val="00F734CC"/>
    <w:rsid w:val="00F82BD2"/>
    <w:rsid w:val="01486283"/>
    <w:rsid w:val="024B1FC5"/>
    <w:rsid w:val="03DC0FCC"/>
    <w:rsid w:val="04343D46"/>
    <w:rsid w:val="044D4B75"/>
    <w:rsid w:val="045B56B3"/>
    <w:rsid w:val="04BA6B7A"/>
    <w:rsid w:val="05CD7495"/>
    <w:rsid w:val="06433CF5"/>
    <w:rsid w:val="071800C4"/>
    <w:rsid w:val="083C5F43"/>
    <w:rsid w:val="08537734"/>
    <w:rsid w:val="08815A9C"/>
    <w:rsid w:val="08A81132"/>
    <w:rsid w:val="09525E59"/>
    <w:rsid w:val="09BC26C5"/>
    <w:rsid w:val="0AF255BC"/>
    <w:rsid w:val="0BEC1E27"/>
    <w:rsid w:val="0D3A6D3B"/>
    <w:rsid w:val="0D9D1D5C"/>
    <w:rsid w:val="0E897CBB"/>
    <w:rsid w:val="0EC76BFE"/>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A2C47DF"/>
    <w:rsid w:val="1A5805CF"/>
    <w:rsid w:val="1B846EE2"/>
    <w:rsid w:val="1C701804"/>
    <w:rsid w:val="1CAE3BF5"/>
    <w:rsid w:val="1CB93E63"/>
    <w:rsid w:val="1D224A40"/>
    <w:rsid w:val="1D553A9B"/>
    <w:rsid w:val="1D557804"/>
    <w:rsid w:val="1DA96624"/>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D83944"/>
    <w:rsid w:val="28FE2F29"/>
    <w:rsid w:val="2AC46F78"/>
    <w:rsid w:val="2AF844C7"/>
    <w:rsid w:val="2C3A2852"/>
    <w:rsid w:val="2D546CAF"/>
    <w:rsid w:val="2D5E512C"/>
    <w:rsid w:val="2DA74856"/>
    <w:rsid w:val="2F5C7822"/>
    <w:rsid w:val="308A61A3"/>
    <w:rsid w:val="31631119"/>
    <w:rsid w:val="330904BA"/>
    <w:rsid w:val="345F4D69"/>
    <w:rsid w:val="348E0B61"/>
    <w:rsid w:val="34B30427"/>
    <w:rsid w:val="35EB5546"/>
    <w:rsid w:val="379B573F"/>
    <w:rsid w:val="37A51D10"/>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FC186C"/>
    <w:rsid w:val="48E731AA"/>
    <w:rsid w:val="49046B1C"/>
    <w:rsid w:val="4AF12E50"/>
    <w:rsid w:val="4B8F4629"/>
    <w:rsid w:val="4D034732"/>
    <w:rsid w:val="4D115CB9"/>
    <w:rsid w:val="4D226AAC"/>
    <w:rsid w:val="4DA45115"/>
    <w:rsid w:val="505E674E"/>
    <w:rsid w:val="50DE4DBD"/>
    <w:rsid w:val="51C3292E"/>
    <w:rsid w:val="51F65C49"/>
    <w:rsid w:val="52EA70C8"/>
    <w:rsid w:val="52F26A7F"/>
    <w:rsid w:val="554E28FE"/>
    <w:rsid w:val="566C2870"/>
    <w:rsid w:val="57B57DBB"/>
    <w:rsid w:val="58DF190E"/>
    <w:rsid w:val="58F13324"/>
    <w:rsid w:val="59441620"/>
    <w:rsid w:val="5B8E2D5D"/>
    <w:rsid w:val="5C0430D5"/>
    <w:rsid w:val="5CD91574"/>
    <w:rsid w:val="5D0E28AF"/>
    <w:rsid w:val="5EA12B9A"/>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8056E47"/>
    <w:rsid w:val="68194C3B"/>
    <w:rsid w:val="69372D96"/>
    <w:rsid w:val="69C55CFF"/>
    <w:rsid w:val="6A12542A"/>
    <w:rsid w:val="6C4C3A45"/>
    <w:rsid w:val="6C6939C3"/>
    <w:rsid w:val="6E311877"/>
    <w:rsid w:val="6E336B29"/>
    <w:rsid w:val="6EA2154F"/>
    <w:rsid w:val="6ED45DD7"/>
    <w:rsid w:val="6F4021E5"/>
    <w:rsid w:val="70E2745F"/>
    <w:rsid w:val="7111286E"/>
    <w:rsid w:val="713E1B08"/>
    <w:rsid w:val="71701991"/>
    <w:rsid w:val="71A150C1"/>
    <w:rsid w:val="72340CB9"/>
    <w:rsid w:val="72DE46DF"/>
    <w:rsid w:val="730846B2"/>
    <w:rsid w:val="7480693E"/>
    <w:rsid w:val="74983E64"/>
    <w:rsid w:val="761A29D2"/>
    <w:rsid w:val="77107979"/>
    <w:rsid w:val="77144069"/>
    <w:rsid w:val="780B6495"/>
    <w:rsid w:val="7A8D6040"/>
    <w:rsid w:val="7BDD4178"/>
    <w:rsid w:val="7C5A28BF"/>
    <w:rsid w:val="7E42085A"/>
    <w:rsid w:val="7F542F90"/>
    <w:rsid w:val="7FC01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customStyle="1" w:styleId="7">
    <w:name w:val="表格文字"/>
    <w:basedOn w:val="1"/>
    <w:qFormat/>
    <w:uiPriority w:val="0"/>
    <w:pPr>
      <w:spacing w:before="25" w:after="25"/>
    </w:pPr>
    <w:rPr>
      <w:bCs/>
      <w:spacing w:val="10"/>
    </w:rPr>
  </w:style>
  <w:style w:type="character" w:customStyle="1" w:styleId="8">
    <w:name w:val="Header Char"/>
    <w:basedOn w:val="6"/>
    <w:link w:val="2"/>
    <w:uiPriority w:val="99"/>
    <w:rPr>
      <w:rFonts w:ascii="Times New Roman" w:hAnsi="Times New Roman" w:eastAsia="宋体" w:cs="Times New Roman"/>
      <w:sz w:val="18"/>
      <w:szCs w:val="18"/>
    </w:rPr>
  </w:style>
  <w:style w:type="character" w:customStyle="1" w:styleId="9">
    <w:name w:val="Footer Char"/>
    <w:basedOn w:val="6"/>
    <w:link w:val="4"/>
    <w:qFormat/>
    <w:uiPriority w:val="99"/>
    <w:rPr>
      <w:rFonts w:ascii="Times New Roman" w:hAnsi="Times New Roman" w:eastAsia="宋体" w:cs="Times New Roman"/>
      <w:sz w:val="18"/>
      <w:szCs w:val="18"/>
    </w:rPr>
  </w:style>
  <w:style w:type="character" w:customStyle="1" w:styleId="10">
    <w:name w:val="Balloon Text Char"/>
    <w:basedOn w:val="6"/>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TUV</Company>
  <Pages>6</Pages>
  <Words>462</Words>
  <Characters>2640</Characters>
  <Lines>22</Lines>
  <Paragraphs>6</Paragraphs>
  <TotalTime>0</TotalTime>
  <ScaleCrop>false</ScaleCrop>
  <LinksUpToDate>false</LinksUpToDate>
  <CharactersWithSpaces>3096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2020-11-28T03:17:06Z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