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主管领导：耿敬攀     陪同人员：张会峰</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1</w:t>
            </w:r>
            <w:r>
              <w:rPr>
                <w:rFonts w:hint="eastAsia" w:ascii="宋体" w:hAnsi="宋体" w:cs="宋体"/>
                <w:szCs w:val="21"/>
              </w:rPr>
              <w:t>月2</w:t>
            </w:r>
            <w:r>
              <w:rPr>
                <w:rFonts w:ascii="宋体" w:hAnsi="宋体" w:cs="宋体"/>
                <w:szCs w:val="21"/>
              </w:rPr>
              <w:t>5</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szCs w:val="21"/>
              </w:rPr>
            </w:pPr>
            <w:r>
              <w:rPr>
                <w:rFonts w:hint="eastAsia" w:ascii="宋体" w:hAnsi="宋体"/>
                <w:sz w:val="18"/>
                <w:szCs w:val="22"/>
              </w:rPr>
              <w:t>QES：5.3/6.2 /6.1.2/6.1.3/7.2/7.5/9.2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7"/>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提供了公司制定《环境因素控制程序》</w:t>
            </w:r>
            <w:r>
              <w:rPr>
                <w:rFonts w:asciiTheme="minorEastAsia" w:hAnsiTheme="minorEastAsia" w:eastAsiaTheme="minorEastAsia" w:cstheme="minorEastAsia"/>
                <w:szCs w:val="21"/>
              </w:rPr>
              <w:t>KXHY -CX-6.1.2-12</w:t>
            </w:r>
            <w:r>
              <w:rPr>
                <w:rFonts w:hint="eastAsia" w:asciiTheme="minorEastAsia" w:hAnsiTheme="minorEastAsia" w:eastAsiaTheme="minorEastAsia" w:cstheme="minorEastAsia"/>
                <w:szCs w:val="21"/>
              </w:rPr>
              <w:t>，法律法规和其它要求控制程序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KXHY -CX-6.1.3-13、危险源辨识与风险评价管理程序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KXHY-CX-8.1-21确保公司在所有管理活动或服务过程中能最大限度、充分地进行危险源辨识与风险性评价，确定不可接受风险并及时更新，实现对危险源与不可接受风险的有效控制。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提供了《危险源辨识、风险评价和控制措施的确定表》，对活动场所产生的危险源辨识并进行风险评价，以确定控制措施，经查阅已辨识：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不可接受风险2项：潜在火灾、触电。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危险源主要有：车辆进出倒车、司机疲劳驾驶、酒后操作、刹车不灵、饮水机漏电、违规用电、违章操作、上下班交通事故、接触从疫情区回来的人员、未戴防护用品等危险因素。 评价人员：杨云博、耿敬攀、周坤。 时间：2020年0</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月1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由各部门有管理经验的人员共同讨论、采用直接判断的方法确定不可接受风险。提供了《重大危险源清单》及《重要环境因素清单》</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rPr>
                <w:rFonts w:hint="eastAsia" w:eastAsia="宋体"/>
                <w:lang w:val="en-US" w:eastAsia="zh-CN"/>
              </w:rPr>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r>
              <w:rPr>
                <w:rFonts w:hint="eastAsia"/>
                <w:lang w:val="en-US" w:eastAsia="zh-CN"/>
              </w:rPr>
              <w:t>等</w:t>
            </w:r>
          </w:p>
          <w:p>
            <w:pPr>
              <w:snapToGrid w:val="0"/>
              <w:spacing w:line="280" w:lineRule="exact"/>
              <w:jc w:val="left"/>
            </w:pPr>
            <w:r>
              <w:rPr>
                <w:rFonts w:hint="eastAsia"/>
              </w:rPr>
              <w:t>公司得法律法规识别比较全面，对标准职业健康安全方面法律法规与其他要求均列入了清单，收集基本齐全，收集部门行政部，编制-综合部 ，审核- 杨云博， 批准- 周坤 ，时间 2020.07.</w:t>
            </w:r>
            <w:r>
              <w:t>2</w:t>
            </w:r>
            <w:r>
              <w:rPr>
                <w:rFonts w:hint="eastAsia"/>
              </w:rPr>
              <w:t>0更新。</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rPr>
                <w:rFonts w:hint="eastAsia"/>
              </w:rPr>
            </w:pPr>
            <w:r>
              <w:rPr>
                <w:rFonts w:hint="eastAsia"/>
              </w:rPr>
              <w:t>1、培训计划完成率100%</w:t>
            </w:r>
          </w:p>
          <w:p>
            <w:pPr>
              <w:rPr>
                <w:rFonts w:hint="eastAsia"/>
              </w:rPr>
            </w:pPr>
            <w:r>
              <w:rPr>
                <w:rFonts w:hint="eastAsia"/>
              </w:rPr>
              <w:t>2、文件错发率控制到≤3%</w:t>
            </w:r>
          </w:p>
          <w:p>
            <w:pPr>
              <w:rPr>
                <w:rFonts w:hint="eastAsia"/>
              </w:rPr>
            </w:pPr>
            <w:r>
              <w:rPr>
                <w:rFonts w:hint="eastAsia"/>
              </w:rPr>
              <w:t>3、供方评定率100%</w:t>
            </w:r>
          </w:p>
          <w:p>
            <w:pPr>
              <w:rPr>
                <w:rFonts w:hint="eastAsia"/>
              </w:rPr>
            </w:pPr>
            <w:r>
              <w:rPr>
                <w:rFonts w:hint="eastAsia"/>
              </w:rPr>
              <w:t>4、供货及时率100%</w:t>
            </w:r>
          </w:p>
          <w:p>
            <w:pPr>
              <w:rPr>
                <w:rFonts w:hint="eastAsia"/>
              </w:rPr>
            </w:pPr>
            <w:r>
              <w:rPr>
                <w:rFonts w:hint="eastAsia"/>
              </w:rPr>
              <w:t>5、顾客满意度95%以上</w:t>
            </w:r>
          </w:p>
          <w:p>
            <w:pPr>
              <w:rPr>
                <w:rFonts w:hint="eastAsia"/>
              </w:rPr>
            </w:pPr>
            <w:r>
              <w:rPr>
                <w:rFonts w:hint="eastAsia"/>
              </w:rPr>
              <w:t>1、灭火器配置率100％</w:t>
            </w:r>
          </w:p>
          <w:p>
            <w:pPr>
              <w:rPr>
                <w:rFonts w:hint="eastAsia"/>
              </w:rPr>
            </w:pPr>
            <w:r>
              <w:rPr>
                <w:rFonts w:hint="eastAsia"/>
              </w:rPr>
              <w:t>2、固废100％分类进行处理</w:t>
            </w:r>
          </w:p>
          <w:p>
            <w:pPr>
              <w:rPr>
                <w:rFonts w:hint="eastAsia"/>
              </w:rPr>
            </w:pPr>
            <w:r>
              <w:rPr>
                <w:rFonts w:hint="eastAsia"/>
              </w:rPr>
              <w:t>3、无重大环境投诉</w:t>
            </w:r>
          </w:p>
          <w:p>
            <w:pPr>
              <w:rPr>
                <w:rFonts w:hint="eastAsia"/>
              </w:rPr>
            </w:pPr>
            <w:r>
              <w:rPr>
                <w:rFonts w:hint="eastAsia"/>
              </w:rPr>
              <w:t>4、火灾事故发生率为0。</w:t>
            </w:r>
          </w:p>
          <w:p>
            <w:pPr>
              <w:rPr>
                <w:rFonts w:hint="eastAsia"/>
              </w:rPr>
            </w:pPr>
            <w:r>
              <w:rPr>
                <w:rFonts w:hint="eastAsia"/>
              </w:rPr>
              <w:t xml:space="preserve">1）各类重伤以上事故发生率为零； </w:t>
            </w:r>
          </w:p>
          <w:p>
            <w:pPr>
              <w:spacing w:line="280" w:lineRule="exact"/>
              <w:rPr>
                <w:rFonts w:hint="default" w:ascii="宋体" w:hAnsi="宋体" w:eastAsia="宋体"/>
                <w:szCs w:val="21"/>
                <w:lang w:val="en-US" w:eastAsia="zh-CN"/>
              </w:rPr>
            </w:pPr>
            <w:r>
              <w:rPr>
                <w:rFonts w:hint="eastAsia"/>
                <w:szCs w:val="21"/>
              </w:rPr>
              <w:t>目标均可量化可测量，提供目标统计表</w:t>
            </w:r>
            <w:r>
              <w:rPr>
                <w:rFonts w:hint="eastAsia"/>
                <w:szCs w:val="21"/>
                <w:lang w:eastAsia="zh-CN"/>
              </w:rPr>
              <w:t>，</w:t>
            </w:r>
            <w:r>
              <w:rPr>
                <w:rFonts w:hint="eastAsia"/>
                <w:szCs w:val="21"/>
                <w:lang w:val="en-US" w:eastAsia="zh-CN"/>
              </w:rPr>
              <w:t>提供有管理方案，方案可行</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职业健康安全管理体系要求的后果。</w:t>
            </w:r>
          </w:p>
          <w:p>
            <w:pPr>
              <w:pStyle w:val="7"/>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询问耿敬攀，综合部经理，知道公司方针，知道所在的工作岗位的质量、环境、职业健康安全目标，也了解自己的工作好坏会影响组织质量、环境、职业健康安全管理体系的有效运行。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pStyle w:val="7"/>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提供有培训计划、培训记录</w:t>
            </w:r>
          </w:p>
          <w:p>
            <w:pPr>
              <w:pStyle w:val="7"/>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人员资质等相关证据</w:t>
            </w:r>
          </w:p>
          <w:p>
            <w:pPr>
              <w:pStyle w:val="7"/>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二级文件：公司编制了程序文件，包括质量、环境、职业健康安全标准要求的所有程序。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pStyle w:val="7"/>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由管理者代表钱科定期组织内部审核，一般每年进行一次内部审核，时间间隔不超过12个月，抽查最近一次的内部审核情况：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年度审核计划：提供《内部审核实施计划》，其内容已包括了审核目的、范围、准则、审核方法、日期（2020年0</w:t>
            </w:r>
            <w:r>
              <w:rPr>
                <w:szCs w:val="21"/>
              </w:rPr>
              <w:t>8</w:t>
            </w:r>
            <w:r>
              <w:rPr>
                <w:rFonts w:hint="eastAsia"/>
                <w:szCs w:val="21"/>
              </w:rPr>
              <w:t>月1</w:t>
            </w:r>
            <w:r>
              <w:rPr>
                <w:szCs w:val="21"/>
              </w:rPr>
              <w:t>0</w:t>
            </w:r>
            <w:r>
              <w:rPr>
                <w:rFonts w:hint="eastAsia"/>
                <w:szCs w:val="21"/>
              </w:rPr>
              <w:t>），审核依据：GB/T19001-2016/ISO9001:2015,E：GB/T 24001-2016/ISO14001:2015,O：GB/T45001-2020 / ISO45001：2018；公司管理体系文件；行业法律法规及相关文件拟稿。</w:t>
            </w:r>
          </w:p>
          <w:p>
            <w:pPr>
              <w:spacing w:line="360" w:lineRule="auto"/>
              <w:ind w:firstLine="420" w:firstLineChars="200"/>
              <w:rPr>
                <w:szCs w:val="21"/>
              </w:rPr>
            </w:pPr>
            <w:bookmarkStart w:id="0" w:name="_GoBack"/>
            <w:bookmarkEnd w:id="0"/>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tabs>
                <w:tab w:val="left" w:pos="7380"/>
              </w:tabs>
              <w:rPr>
                <w:rFonts w:hint="eastAsia" w:ascii="宋体" w:hAnsi="宋体" w:eastAsia="宋体" w:cs="Tahom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tabs>
                <w:tab w:val="left" w:pos="7380"/>
              </w:tabs>
              <w:rPr>
                <w:rFonts w:hint="eastAsia" w:ascii="宋体" w:hAnsi="宋体" w:eastAsia="宋体" w:cs="Tahoma"/>
                <w:kern w:val="2"/>
                <w:sz w:val="21"/>
                <w:szCs w:val="21"/>
                <w:lang w:val="en-US" w:eastAsia="zh-CN" w:bidi="ar-SA"/>
              </w:rPr>
            </w:pPr>
          </w:p>
        </w:tc>
        <w:tc>
          <w:tcPr>
            <w:tcW w:w="10943"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通过一阶段对受审核方的管理、服务及销售巡视和观察，对管理体系绩效要求有重大影响的过程、活动、场所和现场运行进行观察、巡视及总体性评价，组织具备二阶段审核条件，可进行二阶段审核。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Q:技术服务控制过程、销售过程、采购过程、检验过程等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E:环境因素识别、重要环境因素管理方案、相关方的信息沟通、应急准备和响应控制措施等</w:t>
            </w:r>
          </w:p>
          <w:p>
            <w:pPr>
              <w:pStyle w:val="7"/>
              <w:rPr>
                <w:rFonts w:hint="default"/>
                <w:lang w:val="en-US" w:eastAsia="zh-CN"/>
              </w:rPr>
            </w:pPr>
            <w:r>
              <w:rPr>
                <w:rFonts w:hint="eastAsia" w:ascii="宋体" w:hAnsi="宋体" w:cs="Tahoma"/>
                <w:szCs w:val="21"/>
                <w:lang w:val="en-US" w:eastAsia="zh-CN"/>
              </w:rPr>
              <w:t>O:危险源辨识、不可接受风险识别及管理方案、</w:t>
            </w:r>
            <w:r>
              <w:rPr>
                <w:rFonts w:hint="eastAsia" w:ascii="宋体" w:hAnsi="宋体" w:eastAsia="宋体" w:cs="Tahoma"/>
                <w:szCs w:val="21"/>
                <w:lang w:val="en-US" w:eastAsia="zh-CN"/>
              </w:rPr>
              <w:t>相关方的信息沟通、应急准备和响应控制措施等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重点审核部门：综合部、</w:t>
            </w:r>
            <w:r>
              <w:rPr>
                <w:rFonts w:hint="eastAsia" w:ascii="宋体" w:hAnsi="宋体" w:cs="Tahoma"/>
                <w:szCs w:val="21"/>
                <w:lang w:val="en-US" w:eastAsia="zh-CN"/>
              </w:rPr>
              <w:t>技术部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重点审核过程：环境因素识别、风险识别评价、运行过程、监视和测量、不符合控制、合规性评价等。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重点审核场所：技术服务场所、销售场所、办公场所。</w:t>
            </w:r>
          </w:p>
          <w:p>
            <w:pPr>
              <w:tabs>
                <w:tab w:val="left" w:pos="7380"/>
              </w:tabs>
              <w:rPr>
                <w:rFonts w:hint="eastAsia" w:ascii="宋体" w:hAnsi="宋体" w:eastAsia="宋体" w:cs="Tahoma"/>
                <w:kern w:val="2"/>
                <w:sz w:val="21"/>
                <w:szCs w:val="21"/>
                <w:lang w:val="en-US" w:eastAsia="zh-CN" w:bidi="ar-SA"/>
              </w:rPr>
            </w:pPr>
            <w:r>
              <w:rPr>
                <w:rFonts w:hint="eastAsia" w:ascii="宋体" w:hAnsi="宋体" w:eastAsia="宋体" w:cs="Tahoma"/>
                <w:szCs w:val="21"/>
                <w:lang w:val="en-US" w:eastAsia="zh-CN"/>
              </w:rPr>
              <w:t>审核时间：2020.</w:t>
            </w:r>
            <w:r>
              <w:rPr>
                <w:rFonts w:hint="eastAsia" w:ascii="宋体" w:hAnsi="宋体" w:cs="Tahoma"/>
                <w:szCs w:val="21"/>
                <w:lang w:val="en-US" w:eastAsia="zh-CN"/>
              </w:rPr>
              <w:t>11.27-28</w:t>
            </w: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E3042"/>
    <w:rsid w:val="00102C2D"/>
    <w:rsid w:val="00110EDF"/>
    <w:rsid w:val="001123B3"/>
    <w:rsid w:val="001A2D7F"/>
    <w:rsid w:val="001D1990"/>
    <w:rsid w:val="001F1234"/>
    <w:rsid w:val="00247B3C"/>
    <w:rsid w:val="0029279C"/>
    <w:rsid w:val="00337922"/>
    <w:rsid w:val="00340867"/>
    <w:rsid w:val="00380837"/>
    <w:rsid w:val="003A198A"/>
    <w:rsid w:val="003B05D7"/>
    <w:rsid w:val="003D36DA"/>
    <w:rsid w:val="00410914"/>
    <w:rsid w:val="00450AD9"/>
    <w:rsid w:val="00467319"/>
    <w:rsid w:val="004A5111"/>
    <w:rsid w:val="00536930"/>
    <w:rsid w:val="00564E53"/>
    <w:rsid w:val="00595C2E"/>
    <w:rsid w:val="00644FE2"/>
    <w:rsid w:val="00653868"/>
    <w:rsid w:val="00670ABE"/>
    <w:rsid w:val="00674B7D"/>
    <w:rsid w:val="00675389"/>
    <w:rsid w:val="0067640C"/>
    <w:rsid w:val="006813C1"/>
    <w:rsid w:val="006E678B"/>
    <w:rsid w:val="006F35A7"/>
    <w:rsid w:val="007020C1"/>
    <w:rsid w:val="007757F3"/>
    <w:rsid w:val="007E6AEB"/>
    <w:rsid w:val="00831F15"/>
    <w:rsid w:val="00845CDB"/>
    <w:rsid w:val="00866E70"/>
    <w:rsid w:val="00867EC0"/>
    <w:rsid w:val="008973EE"/>
    <w:rsid w:val="0090631B"/>
    <w:rsid w:val="009306B5"/>
    <w:rsid w:val="0093791E"/>
    <w:rsid w:val="00971600"/>
    <w:rsid w:val="009973B4"/>
    <w:rsid w:val="009C28C1"/>
    <w:rsid w:val="009D02F0"/>
    <w:rsid w:val="009F7EED"/>
    <w:rsid w:val="00A20BA1"/>
    <w:rsid w:val="00A73133"/>
    <w:rsid w:val="00A93DC5"/>
    <w:rsid w:val="00AA2943"/>
    <w:rsid w:val="00AF0AAB"/>
    <w:rsid w:val="00B90CD3"/>
    <w:rsid w:val="00BC6F9D"/>
    <w:rsid w:val="00BF09B5"/>
    <w:rsid w:val="00BF597E"/>
    <w:rsid w:val="00C037FA"/>
    <w:rsid w:val="00C073BA"/>
    <w:rsid w:val="00C51A36"/>
    <w:rsid w:val="00C55228"/>
    <w:rsid w:val="00C80AE1"/>
    <w:rsid w:val="00CB2EAB"/>
    <w:rsid w:val="00CE315A"/>
    <w:rsid w:val="00CF7141"/>
    <w:rsid w:val="00D06F59"/>
    <w:rsid w:val="00D4759C"/>
    <w:rsid w:val="00D8388C"/>
    <w:rsid w:val="00DD77EF"/>
    <w:rsid w:val="00E10AB3"/>
    <w:rsid w:val="00E21595"/>
    <w:rsid w:val="00E236E6"/>
    <w:rsid w:val="00E2478A"/>
    <w:rsid w:val="00E96ABE"/>
    <w:rsid w:val="00EA4982"/>
    <w:rsid w:val="00EB0164"/>
    <w:rsid w:val="00ED0F62"/>
    <w:rsid w:val="00EE719A"/>
    <w:rsid w:val="00F03828"/>
    <w:rsid w:val="00FC77EA"/>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410AE6"/>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Header Char"/>
    <w:basedOn w:val="6"/>
    <w:link w:val="2"/>
    <w:qFormat/>
    <w:uiPriority w:val="99"/>
    <w:rPr>
      <w:rFonts w:ascii="Times New Roman" w:hAnsi="Times New Roman" w:eastAsia="宋体" w:cs="Times New Roman"/>
      <w:sz w:val="18"/>
      <w:szCs w:val="18"/>
    </w:rPr>
  </w:style>
  <w:style w:type="character" w:customStyle="1" w:styleId="9">
    <w:name w:val="Footer Char"/>
    <w:basedOn w:val="6"/>
    <w:link w:val="4"/>
    <w:qFormat/>
    <w:uiPriority w:val="99"/>
    <w:rPr>
      <w:rFonts w:ascii="Times New Roman" w:hAnsi="Times New Roman" w:eastAsia="宋体" w:cs="Times New Roman"/>
      <w:sz w:val="18"/>
      <w:szCs w:val="18"/>
    </w:rPr>
  </w:style>
  <w:style w:type="character" w:customStyle="1" w:styleId="10">
    <w:name w:val="Balloon Text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10</Pages>
  <Words>828</Words>
  <Characters>4726</Characters>
  <Lines>39</Lines>
  <Paragraphs>11</Paragraphs>
  <TotalTime>2</TotalTime>
  <ScaleCrop>false</ScaleCrop>
  <LinksUpToDate>false</LinksUpToDate>
  <CharactersWithSpaces>5543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2020-11-28T03:20:43Z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