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隶书" w:hAnsi="宋体" w:eastAsia="隶书"/>
          <w:bCs/>
          <w:sz w:val="36"/>
          <w:szCs w:val="36"/>
          <w:lang w:val="en-US" w:eastAsia="zh-CN"/>
        </w:rPr>
      </w:pPr>
      <w:r>
        <w:rPr>
          <w:rFonts w:hint="eastAsia" w:ascii="隶书" w:hAnsi="宋体" w:eastAsia="隶书"/>
          <w:bCs/>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269"/>
        <w:gridCol w:w="10947"/>
        <w:gridCol w:w="191"/>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56" w:type="dxa"/>
            <w:vMerge w:val="restart"/>
            <w:vAlign w:val="center"/>
          </w:tcPr>
          <w:p>
            <w:pPr>
              <w:spacing w:before="12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过程与活动、</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抽样计划</w:t>
            </w:r>
          </w:p>
        </w:tc>
        <w:tc>
          <w:tcPr>
            <w:tcW w:w="1269"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涉及</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w:t>
            </w:r>
          </w:p>
        </w:tc>
        <w:tc>
          <w:tcPr>
            <w:tcW w:w="10947"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受审核部门：</w:t>
            </w:r>
            <w:r>
              <w:rPr>
                <w:rFonts w:hint="eastAsia" w:ascii="宋体" w:hAnsi="宋体" w:eastAsiaTheme="minorEastAsia"/>
                <w:sz w:val="18"/>
                <w:szCs w:val="22"/>
                <w:lang w:val="en-US" w:eastAsia="zh-CN"/>
              </w:rPr>
              <w:t>综合</w:t>
            </w:r>
            <w:r>
              <w:rPr>
                <w:rFonts w:hint="eastAsia" w:ascii="宋体" w:hAnsi="宋体" w:eastAsiaTheme="minorEastAsia"/>
                <w:sz w:val="18"/>
                <w:szCs w:val="22"/>
                <w:lang w:eastAsia="zh-CN"/>
              </w:rPr>
              <w:t>部</w:t>
            </w:r>
            <w:r>
              <w:rPr>
                <w:rFonts w:hint="eastAsia" w:asciiTheme="minorEastAsia" w:hAnsiTheme="minorEastAsia" w:eastAsiaTheme="minorEastAsia" w:cstheme="minorEastAsia"/>
                <w:szCs w:val="21"/>
              </w:rPr>
              <w:t xml:space="preserve">     主管领导：</w:t>
            </w:r>
            <w:r>
              <w:rPr>
                <w:rFonts w:hint="eastAsia"/>
              </w:rPr>
              <w:t>耿敬攀</w:t>
            </w:r>
            <w:r>
              <w:rPr>
                <w:rFonts w:hint="eastAsia" w:asciiTheme="minorEastAsia" w:hAnsiTheme="minorEastAsia" w:eastAsiaTheme="minorEastAsia" w:cstheme="minorEastAsia"/>
                <w:szCs w:val="21"/>
              </w:rPr>
              <w:t xml:space="preserve">    陪同人员：</w:t>
            </w:r>
            <w:r>
              <w:rPr>
                <w:rFonts w:hint="eastAsia"/>
              </w:rPr>
              <w:t>冯晓东</w:t>
            </w:r>
          </w:p>
        </w:tc>
        <w:tc>
          <w:tcPr>
            <w:tcW w:w="837" w:type="dxa"/>
            <w:gridSpan w:val="2"/>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6" w:type="dxa"/>
            <w:vMerge w:val="continue"/>
            <w:vAlign w:val="center"/>
          </w:tcPr>
          <w:p>
            <w:pPr>
              <w:rPr>
                <w:rFonts w:asciiTheme="minorEastAsia" w:hAnsiTheme="minorEastAsia" w:eastAsiaTheme="minorEastAsia" w:cstheme="minorEastAsia"/>
                <w:szCs w:val="21"/>
              </w:rPr>
            </w:pPr>
          </w:p>
        </w:tc>
        <w:tc>
          <w:tcPr>
            <w:tcW w:w="1269" w:type="dxa"/>
            <w:vMerge w:val="continue"/>
            <w:vAlign w:val="center"/>
          </w:tcPr>
          <w:p>
            <w:pPr>
              <w:rPr>
                <w:rFonts w:asciiTheme="minorEastAsia" w:hAnsiTheme="minorEastAsia" w:eastAsiaTheme="minorEastAsia" w:cstheme="minorEastAsia"/>
                <w:szCs w:val="21"/>
              </w:rPr>
            </w:pPr>
          </w:p>
        </w:tc>
        <w:tc>
          <w:tcPr>
            <w:tcW w:w="10947" w:type="dxa"/>
            <w:vAlign w:val="center"/>
          </w:tcPr>
          <w:p>
            <w:pPr>
              <w:spacing w:before="1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审核员：</w:t>
            </w:r>
            <w:r>
              <w:rPr>
                <w:rFonts w:hint="eastAsia"/>
                <w:sz w:val="18"/>
                <w:szCs w:val="18"/>
              </w:rPr>
              <w:t>李京田</w:t>
            </w:r>
            <w:r>
              <w:rPr>
                <w:rFonts w:hint="eastAsia" w:asciiTheme="minorEastAsia" w:hAnsiTheme="minorEastAsia" w:eastAsiaTheme="minorEastAsia" w:cstheme="minorEastAsia"/>
                <w:szCs w:val="21"/>
              </w:rPr>
              <w:t xml:space="preserve">         审核时间：</w:t>
            </w:r>
            <w:r>
              <w:rPr>
                <w:rFonts w:hint="eastAsia" w:asciiTheme="minorEastAsia" w:hAnsiTheme="minorEastAsia" w:eastAsiaTheme="minorEastAsia" w:cstheme="minorEastAsia"/>
                <w:szCs w:val="21"/>
                <w:lang w:val="en-US" w:eastAsia="zh-CN"/>
              </w:rPr>
              <w:t>2020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11</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25</w:t>
            </w:r>
            <w:r>
              <w:rPr>
                <w:rFonts w:hint="eastAsia" w:asciiTheme="minorEastAsia" w:hAnsiTheme="minorEastAsia" w:eastAsiaTheme="minorEastAsia" w:cstheme="minorEastAsia"/>
                <w:szCs w:val="21"/>
              </w:rPr>
              <w:t>日</w:t>
            </w:r>
          </w:p>
        </w:tc>
        <w:tc>
          <w:tcPr>
            <w:tcW w:w="837" w:type="dxa"/>
            <w:gridSpan w:val="2"/>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56" w:type="dxa"/>
            <w:vMerge w:val="continue"/>
            <w:vAlign w:val="center"/>
          </w:tcPr>
          <w:p>
            <w:pPr>
              <w:rPr>
                <w:rFonts w:asciiTheme="minorEastAsia" w:hAnsiTheme="minorEastAsia" w:eastAsiaTheme="minorEastAsia" w:cstheme="minorEastAsia"/>
                <w:szCs w:val="21"/>
              </w:rPr>
            </w:pPr>
          </w:p>
        </w:tc>
        <w:tc>
          <w:tcPr>
            <w:tcW w:w="1269" w:type="dxa"/>
            <w:vMerge w:val="continue"/>
            <w:vAlign w:val="center"/>
          </w:tcPr>
          <w:p>
            <w:pPr>
              <w:rPr>
                <w:rFonts w:asciiTheme="minorEastAsia" w:hAnsiTheme="minorEastAsia" w:eastAsiaTheme="minorEastAsia" w:cstheme="minorEastAsia"/>
                <w:szCs w:val="21"/>
              </w:rPr>
            </w:pPr>
          </w:p>
        </w:tc>
        <w:tc>
          <w:tcPr>
            <w:tcW w:w="10947" w:type="dxa"/>
            <w:vAlign w:val="center"/>
          </w:tcPr>
          <w:p>
            <w:pPr>
              <w:snapToGrid w:val="0"/>
              <w:spacing w:line="260" w:lineRule="exact"/>
              <w:rPr>
                <w:rFonts w:ascii="宋体" w:hAnsi="宋体" w:cs="宋体"/>
                <w:b/>
                <w:bCs/>
                <w:szCs w:val="21"/>
              </w:rPr>
            </w:pPr>
            <w:r>
              <w:rPr>
                <w:rFonts w:hint="eastAsia"/>
                <w:color w:val="000000" w:themeColor="text1"/>
                <w:sz w:val="21"/>
                <w:szCs w:val="21"/>
                <w:lang w:val="en-US" w:eastAsia="zh-CN"/>
              </w:rPr>
              <w:t xml:space="preserve">  </w:t>
            </w:r>
          </w:p>
        </w:tc>
        <w:tc>
          <w:tcPr>
            <w:tcW w:w="837" w:type="dxa"/>
            <w:gridSpan w:val="2"/>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56" w:type="dxa"/>
          </w:tcPr>
          <w:p>
            <w:pPr>
              <w:rPr>
                <w:rFonts w:asciiTheme="minorEastAsia" w:hAnsiTheme="minorEastAsia" w:eastAsiaTheme="minorEastAsia" w:cstheme="minorEastAsia"/>
                <w:szCs w:val="21"/>
              </w:rPr>
            </w:pPr>
            <w:r>
              <w:rPr>
                <w:rFonts w:hint="eastAsia"/>
                <w:szCs w:val="21"/>
              </w:rPr>
              <w:t>合同评审、客户沟通</w:t>
            </w:r>
          </w:p>
        </w:tc>
        <w:tc>
          <w:tcPr>
            <w:tcW w:w="1269" w:type="dxa"/>
          </w:tcPr>
          <w:p>
            <w:pPr>
              <w:rPr>
                <w:rFonts w:asciiTheme="minorEastAsia" w:hAnsiTheme="minorEastAsia" w:eastAsiaTheme="minorEastAsia" w:cstheme="minorEastAsia"/>
                <w:szCs w:val="21"/>
              </w:rPr>
            </w:pPr>
            <w:r>
              <w:rPr>
                <w:rFonts w:hint="eastAsia"/>
                <w:szCs w:val="21"/>
              </w:rPr>
              <w:t>Q8.2</w:t>
            </w:r>
          </w:p>
        </w:tc>
        <w:tc>
          <w:tcPr>
            <w:tcW w:w="10947" w:type="dxa"/>
          </w:tcPr>
          <w:p>
            <w:pPr>
              <w:pStyle w:val="9"/>
              <w:ind w:firstLine="46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负责人介绍沟通方式主要是电话、传真、资料传递、公司网站、广告等形式宣传本公司有关产品及公司的有关信誉等。针对合同洽谈、签订、履行过程中的问题，及时电话联系，明确各自的要求，执行合同。目前沟通效果良好。</w:t>
            </w:r>
          </w:p>
          <w:p>
            <w:pPr>
              <w:autoSpaceDE w:val="0"/>
              <w:autoSpaceDN w:val="0"/>
              <w:adjustRightInd w:val="0"/>
              <w:snapToGrid w:val="0"/>
              <w:spacing w:line="360" w:lineRule="auto"/>
              <w:ind w:right="-6" w:rightChars="-3" w:firstLine="420" w:firstLineChars="200"/>
            </w:pPr>
            <w:r>
              <w:rPr>
                <w:rFonts w:hint="eastAsia"/>
              </w:rPr>
              <w:t>主要业务以招标文件、订单、合同、电话、邮件、传真等形式确定与产品有关的要求，均已保存或进行相应的记录。对顾客的要求由销售部办公人员直接对顾客要求进行识别、确认，对于存在的问题直接提出和顾客进行交流沟通，在合同签订前在公司微信群内对合同的要求进行评审。</w:t>
            </w:r>
          </w:p>
          <w:p>
            <w:pPr>
              <w:autoSpaceDE w:val="0"/>
              <w:autoSpaceDN w:val="0"/>
              <w:adjustRightInd w:val="0"/>
              <w:snapToGrid w:val="0"/>
              <w:spacing w:line="360" w:lineRule="auto"/>
              <w:ind w:right="-6" w:rightChars="-3" w:firstLine="420" w:firstLineChars="200"/>
              <w:rPr>
                <w:rFonts w:hint="default" w:eastAsia="宋体"/>
                <w:lang w:val="en-US" w:eastAsia="zh-CN"/>
              </w:rPr>
            </w:pPr>
            <w:r>
              <w:rPr>
                <w:rFonts w:hint="eastAsia"/>
                <w:lang w:val="en-US" w:eastAsia="zh-CN"/>
              </w:rPr>
              <w:t>提供有</w:t>
            </w:r>
            <w:r>
              <w:rPr>
                <w:rFonts w:hint="eastAsia"/>
              </w:rPr>
              <w:t>合同台账：</w:t>
            </w:r>
            <w:r>
              <w:rPr>
                <w:rFonts w:hint="eastAsia"/>
                <w:lang w:val="en-US" w:eastAsia="zh-CN"/>
              </w:rPr>
              <w:t>销售合同，合同评审记录</w:t>
            </w:r>
          </w:p>
          <w:p>
            <w:pPr>
              <w:pStyle w:val="14"/>
              <w:spacing w:line="360" w:lineRule="auto"/>
              <w:jc w:val="both"/>
              <w:rPr>
                <w:rFonts w:asciiTheme="minorEastAsia" w:hAnsiTheme="minorEastAsia" w:eastAsiaTheme="minorEastAsia" w:cstheme="minorEastAsia"/>
                <w:sz w:val="21"/>
                <w:szCs w:val="21"/>
                <w:lang w:eastAsia="zh-CN"/>
              </w:rPr>
            </w:pPr>
          </w:p>
        </w:tc>
        <w:tc>
          <w:tcPr>
            <w:tcW w:w="837" w:type="dxa"/>
            <w:gridSpan w:val="2"/>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1656" w:type="dxa"/>
            <w:vAlign w:val="top"/>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hint="eastAsia" w:ascii="Times New Roman" w:hAnsi="Times New Roman" w:eastAsia="宋体" w:cs="Times New Roman"/>
                <w:kern w:val="2"/>
                <w:sz w:val="21"/>
                <w:lang w:val="en-US" w:eastAsia="zh-CN" w:bidi="ar-SA"/>
              </w:rPr>
            </w:pPr>
          </w:p>
        </w:tc>
        <w:tc>
          <w:tcPr>
            <w:tcW w:w="1269" w:type="dxa"/>
            <w:vAlign w:val="top"/>
          </w:tcPr>
          <w:p>
            <w:pPr>
              <w:rPr>
                <w:rFonts w:hint="eastAsia" w:ascii="Times New Roman" w:hAnsi="Times New Roman" w:eastAsia="宋体" w:cs="Times New Roman"/>
                <w:color w:val="auto"/>
                <w:kern w:val="2"/>
                <w:sz w:val="21"/>
                <w:szCs w:val="21"/>
                <w:lang w:val="en-US" w:eastAsia="zh-CN" w:bidi="ar-SA"/>
              </w:rPr>
            </w:pPr>
            <w:r>
              <w:rPr>
                <w:rFonts w:hint="eastAsia" w:ascii="宋体" w:hAnsi="宋体" w:cs="宋体"/>
                <w:b/>
                <w:szCs w:val="21"/>
              </w:rPr>
              <w:t>8.4</w:t>
            </w:r>
          </w:p>
        </w:tc>
        <w:tc>
          <w:tcPr>
            <w:tcW w:w="10947" w:type="dxa"/>
            <w:vAlign w:val="top"/>
          </w:tcPr>
          <w:p>
            <w:pPr>
              <w:spacing w:line="360" w:lineRule="auto"/>
            </w:pPr>
            <w:r>
              <w:rPr>
                <w:rFonts w:hint="eastAsia"/>
              </w:rPr>
              <w:t>查到《物资采购计划》，计划中分别对</w:t>
            </w:r>
            <w:r>
              <w:rPr>
                <w:rFonts w:hint="eastAsia"/>
                <w:lang w:val="en-US" w:eastAsia="zh-CN"/>
              </w:rPr>
              <w:t>仪器仪表</w:t>
            </w:r>
            <w:r>
              <w:rPr>
                <w:rFonts w:hint="eastAsia"/>
              </w:rPr>
              <w:t>、</w:t>
            </w:r>
            <w:r>
              <w:rPr>
                <w:rFonts w:hint="eastAsia"/>
                <w:lang w:val="en-US" w:eastAsia="zh-CN"/>
              </w:rPr>
              <w:t>电子产品、</w:t>
            </w:r>
            <w:r>
              <w:rPr>
                <w:rFonts w:hint="eastAsia"/>
              </w:rPr>
              <w:t>以及电脑耗材、文具、打印纸、常用办公用品等物资，规定了规格型号、单位数量、计划供货日期、技术要求/质量标准、验证要求等项内容，基本符合。</w:t>
            </w:r>
          </w:p>
          <w:p>
            <w:pPr>
              <w:spacing w:line="360" w:lineRule="auto"/>
            </w:pPr>
            <w:r>
              <w:rPr>
                <w:rFonts w:hint="eastAsia"/>
              </w:rPr>
              <w:t xml:space="preserve">   查到：“物资采购审批表”，对需要采购的物资履行了审批制度。实施有效。符合。</w:t>
            </w:r>
          </w:p>
          <w:p>
            <w:pPr>
              <w:spacing w:line="360" w:lineRule="auto"/>
              <w:ind w:firstLine="420" w:firstLineChars="200"/>
              <w:rPr>
                <w:rFonts w:hint="default" w:eastAsia="宋体"/>
                <w:lang w:val="en-US" w:eastAsia="zh-CN"/>
              </w:rPr>
            </w:pPr>
            <w:r>
              <w:rPr>
                <w:rFonts w:hint="eastAsia"/>
                <w:lang w:val="en-US" w:eastAsia="zh-CN"/>
              </w:rPr>
              <w:t>提供</w:t>
            </w:r>
            <w:r>
              <w:rPr>
                <w:rFonts w:hint="eastAsia"/>
              </w:rPr>
              <w:t>合格供方名录</w:t>
            </w:r>
            <w:r>
              <w:rPr>
                <w:rFonts w:hint="eastAsia"/>
                <w:lang w:eastAsia="zh-CN"/>
              </w:rPr>
              <w:t>、</w:t>
            </w:r>
            <w:r>
              <w:rPr>
                <w:rFonts w:hint="eastAsia"/>
                <w:lang w:val="en-US" w:eastAsia="zh-CN"/>
              </w:rPr>
              <w:t>采购合同、合同评审记录、合格供方评审记录等</w:t>
            </w:r>
          </w:p>
          <w:p>
            <w:pPr>
              <w:pStyle w:val="9"/>
              <w:rPr>
                <w:rFonts w:hint="eastAsia"/>
                <w:lang w:val="en-US" w:eastAsia="zh-CN"/>
              </w:rPr>
            </w:pPr>
          </w:p>
          <w:p>
            <w:pPr>
              <w:pStyle w:val="9"/>
              <w:rPr>
                <w:rFonts w:ascii="Times New Roman" w:hAnsi="Times New Roman" w:eastAsia="宋体" w:cs="Times New Roman"/>
                <w:color w:val="auto"/>
                <w:kern w:val="2"/>
                <w:sz w:val="21"/>
                <w:szCs w:val="21"/>
                <w:lang w:val="en-GB" w:eastAsia="zh-CN" w:bidi="ar-SA"/>
              </w:rPr>
            </w:pPr>
          </w:p>
        </w:tc>
        <w:tc>
          <w:tcPr>
            <w:tcW w:w="837" w:type="dxa"/>
            <w:gridSpan w:val="2"/>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56" w:type="dxa"/>
            <w:vAlign w:val="center"/>
          </w:tcPr>
          <w:p>
            <w:pPr>
              <w:spacing w:line="360" w:lineRule="exact"/>
              <w:rPr>
                <w:szCs w:val="21"/>
              </w:rPr>
            </w:pPr>
            <w:r>
              <w:rPr>
                <w:rFonts w:hint="eastAsia"/>
                <w:szCs w:val="21"/>
                <w:lang w:val="en-US" w:eastAsia="zh-CN"/>
              </w:rPr>
              <w:t>销售</w:t>
            </w:r>
            <w:r>
              <w:rPr>
                <w:rFonts w:hint="eastAsia"/>
                <w:szCs w:val="21"/>
              </w:rPr>
              <w:t>过程的控制</w:t>
            </w:r>
          </w:p>
          <w:p>
            <w:pPr>
              <w:rPr>
                <w:rFonts w:hint="eastAsia" w:ascii="Times New Roman" w:hAnsi="Times New Roman" w:eastAsia="宋体" w:cs="Times New Roman"/>
                <w:color w:val="000000"/>
                <w:kern w:val="2"/>
                <w:sz w:val="21"/>
                <w:szCs w:val="21"/>
                <w:lang w:val="en-US" w:eastAsia="zh-CN" w:bidi="ar-SA"/>
              </w:rPr>
            </w:pPr>
          </w:p>
        </w:tc>
        <w:tc>
          <w:tcPr>
            <w:tcW w:w="1269" w:type="dxa"/>
            <w:vAlign w:val="center"/>
          </w:tcPr>
          <w:p>
            <w:pPr>
              <w:spacing w:line="360" w:lineRule="exact"/>
              <w:rPr>
                <w:szCs w:val="21"/>
              </w:rPr>
            </w:pPr>
            <w:r>
              <w:rPr>
                <w:rFonts w:hint="eastAsia"/>
                <w:szCs w:val="21"/>
              </w:rPr>
              <w:t>Q8.5</w:t>
            </w:r>
            <w:bookmarkStart w:id="0" w:name="_GoBack"/>
            <w:bookmarkEnd w:id="0"/>
          </w:p>
          <w:p>
            <w:pPr>
              <w:rPr>
                <w:rFonts w:hint="eastAsia" w:ascii="Times New Roman" w:hAnsi="Times New Roman" w:eastAsia="宋体" w:cs="Times New Roman"/>
                <w:color w:val="000000"/>
                <w:kern w:val="2"/>
                <w:sz w:val="21"/>
                <w:szCs w:val="21"/>
                <w:lang w:val="en-US" w:eastAsia="zh-CN" w:bidi="ar-SA"/>
              </w:rPr>
            </w:pPr>
          </w:p>
        </w:tc>
        <w:tc>
          <w:tcPr>
            <w:tcW w:w="10947" w:type="dxa"/>
            <w:vAlign w:val="center"/>
          </w:tcPr>
          <w:p>
            <w:pPr>
              <w:rPr>
                <w:rFonts w:hint="eastAsia" w:ascii="宋体" w:hAnsi="宋体"/>
                <w:snapToGrid w:val="0"/>
                <w:color w:val="000000"/>
                <w:kern w:val="0"/>
                <w:sz w:val="18"/>
                <w:szCs w:val="21"/>
                <w:lang w:val="en-US" w:eastAsia="zh-CN"/>
              </w:rPr>
            </w:pPr>
            <w:r>
              <w:rPr>
                <w:rFonts w:hint="eastAsia" w:ascii="宋体" w:hAnsi="宋体"/>
                <w:szCs w:val="21"/>
              </w:rPr>
              <w:t>电子产品、仪器仪表的销售</w:t>
            </w:r>
            <w:r>
              <w:rPr>
                <w:rFonts w:hint="eastAsia" w:ascii="宋体" w:hAnsi="宋体"/>
                <w:snapToGrid w:val="0"/>
                <w:color w:val="000000"/>
                <w:kern w:val="0"/>
                <w:sz w:val="18"/>
                <w:szCs w:val="21"/>
                <w:lang w:val="en-US" w:eastAsia="zh-CN"/>
              </w:rPr>
              <w:t>其控制如下：</w:t>
            </w:r>
          </w:p>
          <w:p>
            <w:pPr>
              <w:rPr>
                <w:rFonts w:ascii="宋体" w:hAnsi="宋体" w:eastAsia="宋体" w:cs="宋体"/>
                <w:szCs w:val="21"/>
              </w:rPr>
            </w:pPr>
            <w:r>
              <w:rPr>
                <w:rFonts w:hint="eastAsia" w:ascii="宋体" w:hAnsi="宋体" w:eastAsia="宋体" w:cs="宋体"/>
                <w:szCs w:val="21"/>
                <w:lang w:val="en-US" w:eastAsia="zh-CN"/>
              </w:rPr>
              <w:t>综合</w:t>
            </w:r>
            <w:r>
              <w:rPr>
                <w:rFonts w:hint="eastAsia" w:ascii="宋体" w:hAnsi="宋体" w:eastAsia="宋体" w:cs="宋体"/>
                <w:szCs w:val="21"/>
              </w:rPr>
              <w:t>部获取销售信息，与客户洽谈，在签订合同前对客户要求进行评审，确认可以满足行业有关法律、法规要求和公司规定及客户要求时，签订合同，根据销售合同为客户提供服务。</w:t>
            </w:r>
          </w:p>
          <w:p>
            <w:pPr>
              <w:rPr>
                <w:rFonts w:hint="eastAsia" w:eastAsiaTheme="minorEastAsia"/>
                <w:lang w:val="en-US" w:eastAsia="zh-CN"/>
              </w:rPr>
            </w:pPr>
            <w:r>
              <w:rPr>
                <w:rFonts w:hint="eastAsia"/>
              </w:rPr>
              <w:t>电子产品、仪器仪表的销售</w:t>
            </w:r>
            <w:r>
              <w:rPr>
                <w:rFonts w:hint="eastAsia"/>
                <w:lang w:val="en-US" w:eastAsia="zh-CN"/>
              </w:rPr>
              <w:t>流程：客户接触----合同评审----签订合同-----客户付款------入帐------采购-----客户提货-----验收</w:t>
            </w:r>
          </w:p>
          <w:p>
            <w:pPr>
              <w:rPr>
                <w:rFonts w:hint="default" w:ascii="宋体" w:hAnsi="宋体" w:eastAsia="宋体" w:cs="宋体"/>
                <w:szCs w:val="21"/>
                <w:lang w:val="en-US" w:eastAsia="zh-CN"/>
              </w:rPr>
            </w:pPr>
            <w:r>
              <w:rPr>
                <w:rFonts w:hint="eastAsia" w:ascii="宋体" w:hAnsi="宋体" w:eastAsia="宋体" w:cs="宋体"/>
                <w:szCs w:val="21"/>
                <w:lang w:val="en-US" w:eastAsia="zh-CN"/>
              </w:rPr>
              <w:t>销售过程为特殊过程，需要确认的过程</w:t>
            </w:r>
          </w:p>
          <w:p>
            <w:pPr>
              <w:rPr>
                <w:rFonts w:ascii="宋体" w:hAnsi="宋体" w:eastAsia="宋体" w:cs="宋体"/>
                <w:szCs w:val="21"/>
              </w:rPr>
            </w:pPr>
            <w:r>
              <w:rPr>
                <w:rFonts w:hint="eastAsia" w:ascii="宋体" w:hAnsi="宋体" w:eastAsia="宋体" w:cs="宋体"/>
                <w:szCs w:val="21"/>
              </w:rPr>
              <w:t>查销售过程控制记录</w:t>
            </w:r>
          </w:p>
          <w:p>
            <w:pPr>
              <w:rPr>
                <w:rFonts w:ascii="宋体" w:hAnsi="宋体" w:eastAsia="宋体" w:cs="宋体"/>
                <w:szCs w:val="21"/>
              </w:rPr>
            </w:pPr>
            <w:r>
              <w:rPr>
                <w:rFonts w:hint="eastAsia" w:ascii="宋体" w:hAnsi="宋体" w:eastAsia="宋体" w:cs="宋体"/>
                <w:szCs w:val="21"/>
                <w:lang w:val="en-US" w:eastAsia="zh-CN"/>
              </w:rPr>
              <w:t>综合</w:t>
            </w:r>
            <w:r>
              <w:rPr>
                <w:rFonts w:hint="eastAsia" w:ascii="宋体" w:hAnsi="宋体" w:eastAsia="宋体" w:cs="宋体"/>
                <w:szCs w:val="21"/>
              </w:rPr>
              <w:t>部经常对顾客进行走访，了解顾客的意见。</w:t>
            </w:r>
          </w:p>
          <w:p>
            <w:pPr>
              <w:rPr>
                <w:rFonts w:ascii="宋体" w:hAnsi="宋体" w:eastAsia="宋体" w:cs="宋体"/>
                <w:szCs w:val="21"/>
              </w:rPr>
            </w:pPr>
            <w:r>
              <w:rPr>
                <w:rFonts w:hint="eastAsia" w:ascii="宋体" w:hAnsi="宋体" w:eastAsia="宋体" w:cs="宋体"/>
                <w:szCs w:val="21"/>
              </w:rPr>
              <w:t>售前：走访用户、了解相关信息等，与顾客签订合同或订单；</w:t>
            </w:r>
          </w:p>
          <w:p>
            <w:pPr>
              <w:rPr>
                <w:rFonts w:ascii="宋体" w:hAnsi="宋体" w:eastAsia="宋体" w:cs="宋体"/>
                <w:szCs w:val="21"/>
              </w:rPr>
            </w:pPr>
            <w:r>
              <w:rPr>
                <w:rFonts w:hint="eastAsia" w:ascii="宋体" w:hAnsi="宋体" w:eastAsia="宋体" w:cs="宋体"/>
                <w:szCs w:val="21"/>
              </w:rPr>
              <w:t>售中：组织供方按期交付，解决用户对进度、质量等关切问题；</w:t>
            </w:r>
          </w:p>
          <w:p>
            <w:pPr>
              <w:rPr>
                <w:rFonts w:ascii="宋体" w:hAnsi="宋体" w:eastAsia="宋体" w:cs="宋体"/>
                <w:szCs w:val="21"/>
              </w:rPr>
            </w:pPr>
            <w:r>
              <w:rPr>
                <w:rFonts w:hint="eastAsia" w:ascii="宋体" w:hAnsi="宋体" w:eastAsia="宋体" w:cs="宋体"/>
                <w:szCs w:val="21"/>
              </w:rPr>
              <w:t>售后：与客户保持密切沟通，不定期回访用户，并对顾客反馈问题解答。体系建立实施至今未发生严重顾客投诉。</w:t>
            </w:r>
          </w:p>
          <w:p>
            <w:pPr>
              <w:rPr>
                <w:rFonts w:hint="eastAsia"/>
              </w:rPr>
            </w:pPr>
            <w:r>
              <w:rPr>
                <w:rFonts w:hint="eastAsia" w:ascii="宋体" w:hAnsi="宋体" w:eastAsia="宋体" w:cs="宋体"/>
                <w:szCs w:val="21"/>
              </w:rPr>
              <w:t>市场部获取销售信息，与客户洽谈，在签订合同前对客户要求进行评审，确认可以满足行业有关法律、法规要求和公司规定及客户要求时，签订合同，根据销售合同为客户提供服务。</w:t>
            </w:r>
          </w:p>
          <w:p>
            <w:pPr>
              <w:rPr>
                <w:rFonts w:hint="eastAsia"/>
                <w:color w:val="000000"/>
                <w:lang w:eastAsia="zh-CN"/>
              </w:rPr>
            </w:pPr>
            <w:r>
              <w:rPr>
                <w:rFonts w:hint="eastAsia"/>
                <w:color w:val="000000"/>
              </w:rPr>
              <w:t>查阅</w:t>
            </w:r>
            <w:r>
              <w:rPr>
                <w:rFonts w:hint="eastAsia"/>
                <w:color w:val="000000"/>
                <w:lang w:eastAsia="zh-CN"/>
              </w:rPr>
              <w:t>销售过程控制情况</w:t>
            </w:r>
          </w:p>
          <w:p>
            <w:pPr>
              <w:rPr>
                <w:rFonts w:hint="default"/>
                <w:color w:val="000000"/>
                <w:szCs w:val="22"/>
                <w:lang w:val="en-US" w:eastAsia="zh-CN"/>
              </w:rPr>
            </w:pPr>
            <w:r>
              <w:rPr>
                <w:rFonts w:hint="eastAsia"/>
                <w:color w:val="000000"/>
                <w:szCs w:val="22"/>
                <w:lang w:val="en-US" w:eastAsia="zh-CN"/>
              </w:rPr>
              <w:t>提供有销售过程控制记录，特殊过程控制记录，二阶段细查</w:t>
            </w:r>
          </w:p>
          <w:p>
            <w:pPr>
              <w:pStyle w:val="9"/>
              <w:rPr>
                <w:rFonts w:hint="eastAsia" w:eastAsia="宋体"/>
                <w:lang w:val="en-US" w:eastAsia="zh-CN"/>
              </w:rPr>
            </w:pPr>
          </w:p>
          <w:p>
            <w:pPr>
              <w:pStyle w:val="9"/>
              <w:rPr>
                <w:rFonts w:hint="eastAsia" w:ascii="Times New Roman" w:hAnsi="Times New Roman" w:eastAsia="宋体" w:cs="Times New Roman"/>
                <w:bCs/>
                <w:spacing w:val="10"/>
                <w:kern w:val="2"/>
                <w:sz w:val="21"/>
                <w:lang w:val="en-US" w:eastAsia="zh-CN" w:bidi="ar-SA"/>
              </w:rPr>
            </w:pPr>
          </w:p>
        </w:tc>
        <w:tc>
          <w:tcPr>
            <w:tcW w:w="837" w:type="dxa"/>
            <w:gridSpan w:val="2"/>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56"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顾客满意</w:t>
            </w:r>
          </w:p>
          <w:p>
            <w:pPr>
              <w:spacing w:line="280" w:lineRule="exact"/>
              <w:rPr>
                <w:rFonts w:asciiTheme="minorEastAsia" w:hAnsiTheme="minorEastAsia" w:eastAsiaTheme="minorEastAsia" w:cstheme="minorEastAsia"/>
                <w:kern w:val="0"/>
                <w:szCs w:val="21"/>
              </w:rPr>
            </w:pPr>
          </w:p>
        </w:tc>
        <w:tc>
          <w:tcPr>
            <w:tcW w:w="1269"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Q9.1.2</w:t>
            </w:r>
          </w:p>
        </w:tc>
        <w:tc>
          <w:tcPr>
            <w:tcW w:w="10947" w:type="dxa"/>
            <w:vAlign w:val="center"/>
          </w:tcPr>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spacing w:line="360" w:lineRule="auto"/>
              <w:ind w:firstLine="798" w:firstLineChars="380"/>
              <w:rPr>
                <w:rFonts w:eastAsia="楷体_GB2312"/>
                <w:sz w:val="32"/>
              </w:rPr>
            </w:pPr>
            <w:r>
              <w:rPr>
                <w:rFonts w:hint="eastAsia"/>
                <w:szCs w:val="21"/>
                <w:lang w:val="zh-CN"/>
              </w:rPr>
              <w:t>提供“顾客满意程度调查表”，调查顾客</w:t>
            </w:r>
            <w:r>
              <w:rPr>
                <w:rFonts w:hint="eastAsia"/>
                <w:szCs w:val="21"/>
                <w:lang w:val="en-US" w:eastAsia="zh-CN"/>
              </w:rPr>
              <w:t>3</w:t>
            </w:r>
            <w:r>
              <w:rPr>
                <w:rFonts w:hint="eastAsia"/>
                <w:szCs w:val="21"/>
                <w:lang w:val="zh-CN"/>
              </w:rPr>
              <w:t>家企业进行满意度调查等。</w:t>
            </w:r>
          </w:p>
          <w:p>
            <w:pPr>
              <w:ind w:firstLine="420" w:firstLineChars="200"/>
              <w:rPr>
                <w:szCs w:val="21"/>
                <w:lang w:val="zh-CN"/>
              </w:rPr>
            </w:pPr>
            <w:r>
              <w:rPr>
                <w:rFonts w:hint="eastAsia"/>
                <w:szCs w:val="21"/>
                <w:lang w:val="zh-CN"/>
              </w:rPr>
              <w:t>调查主要内容：服务</w:t>
            </w:r>
            <w:r>
              <w:rPr>
                <w:rFonts w:hint="eastAsia"/>
                <w:szCs w:val="21"/>
              </w:rPr>
              <w:t>质量、服务交付、服务态度等方面的满意程度</w:t>
            </w:r>
            <w:r>
              <w:rPr>
                <w:rFonts w:hint="eastAsia"/>
                <w:szCs w:val="21"/>
                <w:lang w:val="zh-CN"/>
              </w:rPr>
              <w:t>等，</w:t>
            </w:r>
            <w:r>
              <w:rPr>
                <w:rFonts w:hint="eastAsia"/>
                <w:szCs w:val="21"/>
              </w:rPr>
              <w:t>各项得分求平均值得最终结果</w:t>
            </w:r>
            <w:r>
              <w:rPr>
                <w:rFonts w:hint="eastAsia"/>
                <w:szCs w:val="21"/>
                <w:lang w:val="zh-CN"/>
              </w:rPr>
              <w:t>。抽《顾客满意度调查分析》调查时期：</w:t>
            </w:r>
            <w:r>
              <w:rPr>
                <w:rFonts w:hint="eastAsia" w:ascii="仿宋_GB2312" w:eastAsia="仿宋_GB2312"/>
                <w:sz w:val="24"/>
                <w:lang w:eastAsia="zh-CN"/>
              </w:rPr>
              <w:t>2020</w:t>
            </w:r>
            <w:r>
              <w:rPr>
                <w:rFonts w:hint="eastAsia" w:ascii="仿宋_GB2312" w:eastAsia="仿宋_GB2312"/>
                <w:sz w:val="24"/>
              </w:rPr>
              <w:t>年</w:t>
            </w:r>
            <w:r>
              <w:rPr>
                <w:rFonts w:hint="eastAsia" w:ascii="仿宋_GB2312" w:eastAsia="仿宋_GB2312"/>
                <w:sz w:val="24"/>
                <w:lang w:val="en-US" w:eastAsia="zh-CN"/>
              </w:rPr>
              <w:t>8</w:t>
            </w:r>
            <w:r>
              <w:rPr>
                <w:rFonts w:hint="eastAsia" w:ascii="仿宋_GB2312" w:eastAsia="仿宋_GB2312"/>
                <w:sz w:val="24"/>
              </w:rPr>
              <w:t>月20日</w:t>
            </w:r>
            <w:r>
              <w:rPr>
                <w:rFonts w:hint="eastAsia"/>
                <w:szCs w:val="21"/>
                <w:lang w:val="zh-CN"/>
              </w:rPr>
              <w:t>发放调查表共</w:t>
            </w:r>
            <w:r>
              <w:rPr>
                <w:rFonts w:hint="eastAsia"/>
                <w:szCs w:val="21"/>
                <w:lang w:val="en-US" w:eastAsia="zh-CN"/>
              </w:rPr>
              <w:t>3</w:t>
            </w:r>
            <w:r>
              <w:rPr>
                <w:rFonts w:hint="eastAsia"/>
                <w:szCs w:val="21"/>
                <w:lang w:val="zh-CN"/>
              </w:rPr>
              <w:t>份，回收调查表共</w:t>
            </w:r>
            <w:r>
              <w:rPr>
                <w:rFonts w:hint="eastAsia"/>
                <w:szCs w:val="21"/>
                <w:lang w:val="en-US" w:eastAsia="zh-CN"/>
              </w:rPr>
              <w:t>3</w:t>
            </w:r>
            <w:r>
              <w:rPr>
                <w:rFonts w:hint="eastAsia"/>
                <w:szCs w:val="21"/>
                <w:lang w:val="zh-CN"/>
              </w:rPr>
              <w:t>份。</w:t>
            </w:r>
          </w:p>
          <w:p>
            <w:pPr>
              <w:ind w:firstLine="420" w:firstLineChars="200"/>
              <w:rPr>
                <w:rFonts w:hint="default" w:eastAsia="宋体"/>
                <w:szCs w:val="21"/>
                <w:lang w:val="en-US" w:eastAsia="zh-CN"/>
              </w:rPr>
            </w:pPr>
            <w:r>
              <w:rPr>
                <w:rFonts w:hint="eastAsia"/>
                <w:szCs w:val="21"/>
                <w:lang w:val="zh-CN"/>
              </w:rPr>
              <w:t>出现“一般满意”和“不满意”选项的调查表 0 份。</w:t>
            </w:r>
            <w:r>
              <w:rPr>
                <w:rFonts w:hint="eastAsia"/>
                <w:szCs w:val="21"/>
                <w:lang w:val="en-US" w:eastAsia="zh-CN"/>
              </w:rPr>
              <w:t>提供有调查分析报告，二阶段细查</w:t>
            </w:r>
          </w:p>
          <w:p>
            <w:pPr>
              <w:spacing w:before="50" w:line="0" w:lineRule="atLeast"/>
              <w:rPr>
                <w:rFonts w:asciiTheme="minorEastAsia" w:hAnsiTheme="minorEastAsia" w:eastAsiaTheme="minorEastAsia" w:cstheme="minorEastAsia"/>
                <w:bCs w:val="0"/>
                <w:spacing w:val="0"/>
                <w:szCs w:val="21"/>
              </w:rPr>
            </w:pPr>
            <w:r>
              <w:rPr>
                <w:rFonts w:hint="eastAsia"/>
              </w:rPr>
              <w:t xml:space="preserve">                                                          </w:t>
            </w:r>
          </w:p>
        </w:tc>
        <w:tc>
          <w:tcPr>
            <w:tcW w:w="837" w:type="dxa"/>
            <w:gridSpan w:val="2"/>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56" w:type="dxa"/>
            <w:vAlign w:val="top"/>
          </w:tcPr>
          <w:p>
            <w:pPr>
              <w:spacing w:line="280" w:lineRule="exact"/>
              <w:rPr>
                <w:szCs w:val="21"/>
              </w:rPr>
            </w:pPr>
            <w:r>
              <w:rPr>
                <w:rFonts w:hint="eastAsia"/>
                <w:szCs w:val="21"/>
              </w:rPr>
              <w:t>运行策划和控制</w:t>
            </w:r>
          </w:p>
          <w:p>
            <w:pPr>
              <w:spacing w:line="280" w:lineRule="exact"/>
              <w:rPr>
                <w:rFonts w:ascii="宋体" w:hAnsi="宋体" w:eastAsia="宋体" w:cs="宋体"/>
                <w:kern w:val="2"/>
                <w:sz w:val="21"/>
                <w:szCs w:val="21"/>
                <w:lang w:val="en-US" w:eastAsia="zh-CN" w:bidi="ar-SA"/>
              </w:rPr>
            </w:pPr>
          </w:p>
        </w:tc>
        <w:tc>
          <w:tcPr>
            <w:tcW w:w="1269" w:type="dxa"/>
            <w:vAlign w:val="top"/>
          </w:tcPr>
          <w:p>
            <w:pPr>
              <w:spacing w:line="280" w:lineRule="exact"/>
              <w:rPr>
                <w:szCs w:val="21"/>
              </w:rPr>
            </w:pPr>
            <w:r>
              <w:rPr>
                <w:szCs w:val="21"/>
              </w:rPr>
              <w:t>ES</w:t>
            </w:r>
            <w:r>
              <w:rPr>
                <w:rFonts w:hint="eastAsia"/>
                <w:szCs w:val="21"/>
              </w:rPr>
              <w:t>8.1</w:t>
            </w:r>
          </w:p>
          <w:p>
            <w:pPr>
              <w:spacing w:line="280" w:lineRule="exact"/>
              <w:rPr>
                <w:szCs w:val="21"/>
              </w:rPr>
            </w:pPr>
          </w:p>
          <w:p>
            <w:pPr>
              <w:spacing w:line="280" w:lineRule="exact"/>
              <w:rPr>
                <w:rFonts w:hint="eastAsia" w:ascii="宋体" w:hAnsi="宋体" w:eastAsia="宋体" w:cs="宋体"/>
                <w:kern w:val="2"/>
                <w:sz w:val="21"/>
                <w:szCs w:val="21"/>
                <w:lang w:val="en-US" w:eastAsia="zh-CN" w:bidi="ar-SA"/>
              </w:rPr>
            </w:pPr>
          </w:p>
        </w:tc>
        <w:tc>
          <w:tcPr>
            <w:tcW w:w="10947" w:type="dxa"/>
            <w:vAlign w:val="center"/>
          </w:tcPr>
          <w:p>
            <w:pPr>
              <w:ind w:firstLine="420" w:firstLineChars="200"/>
              <w:rPr>
                <w:szCs w:val="21"/>
              </w:rPr>
            </w:pPr>
            <w:r>
              <w:rPr>
                <w:rFonts w:hint="eastAsia"/>
                <w:szCs w:val="21"/>
              </w:rPr>
              <w:t>本部门涉及员工体检、车辆管理规定、消防器材检查等主要环境因素及危险源的运行控制及监督工作。</w:t>
            </w:r>
          </w:p>
          <w:p>
            <w:pPr>
              <w:ind w:firstLine="420" w:firstLineChars="200"/>
              <w:rPr>
                <w:szCs w:val="21"/>
              </w:rPr>
            </w:pPr>
            <w:r>
              <w:rPr>
                <w:rFonts w:hint="eastAsia"/>
                <w:szCs w:val="21"/>
              </w:rPr>
              <w:t>运行控制情况：定期检查电源线老化情况、火灾隐患、疫情期间员工PPE；办公区域内配置的灭火器,在有效期内。</w:t>
            </w:r>
          </w:p>
          <w:p>
            <w:pPr>
              <w:ind w:firstLine="420" w:firstLineChars="200"/>
              <w:rPr>
                <w:szCs w:val="21"/>
              </w:rPr>
            </w:pPr>
            <w:r>
              <w:rPr>
                <w:rFonts w:hint="eastAsia"/>
                <w:szCs w:val="21"/>
              </w:rPr>
              <w:t>查运行控制情况：</w:t>
            </w:r>
          </w:p>
          <w:p>
            <w:pPr>
              <w:ind w:firstLine="420" w:firstLineChars="200"/>
              <w:rPr>
                <w:szCs w:val="21"/>
              </w:rPr>
            </w:pPr>
            <w:r>
              <w:rPr>
                <w:rFonts w:hint="eastAsia"/>
                <w:szCs w:val="21"/>
              </w:rPr>
              <w:t>办公过程使用的电器如：空调、电脑、灯具均符合安全设计要求，使用过程注意安全，预防触电结火灾隐患排查，工作时间平均每天8小时；</w:t>
            </w:r>
          </w:p>
          <w:p>
            <w:pPr>
              <w:ind w:firstLine="420" w:firstLineChars="200"/>
              <w:rPr>
                <w:szCs w:val="21"/>
              </w:rPr>
            </w:pPr>
            <w:r>
              <w:rPr>
                <w:rFonts w:hint="eastAsia"/>
                <w:szCs w:val="21"/>
              </w:rPr>
              <w:t>办公用品按要求由综合部负责发放，作好记录；</w:t>
            </w:r>
          </w:p>
          <w:p>
            <w:pPr>
              <w:ind w:firstLine="420" w:firstLineChars="200"/>
              <w:rPr>
                <w:szCs w:val="21"/>
              </w:rPr>
            </w:pPr>
            <w:r>
              <w:rPr>
                <w:rFonts w:hint="eastAsia"/>
                <w:szCs w:val="21"/>
              </w:rPr>
              <w:t>相关方施加影响：公司能够控制或能够施加影响的相关方有周边商户、固体废弃物处理等。提供了“致相关方的公开信”，督促影响各相关方按照职业健康管理体系要求对相关方施加职业健康影响。</w:t>
            </w:r>
          </w:p>
          <w:p>
            <w:pPr>
              <w:ind w:firstLine="420" w:firstLineChars="200"/>
              <w:rPr>
                <w:szCs w:val="21"/>
              </w:rPr>
            </w:pPr>
            <w:r>
              <w:rPr>
                <w:rFonts w:hint="eastAsia"/>
                <w:szCs w:val="21"/>
              </w:rPr>
              <w:t>产品生命周期实施策划，明确说明产品在整个生命周期中涉及的主要环境因素，环境因素的控制过程贯穿整个过程的生命周期</w:t>
            </w:r>
          </w:p>
          <w:p>
            <w:pPr>
              <w:pStyle w:val="9"/>
              <w:rPr>
                <w:rFonts w:hint="eastAsia"/>
                <w:color w:val="auto"/>
                <w:lang w:val="en-US" w:eastAsia="zh-CN"/>
              </w:rPr>
            </w:pPr>
            <w:r>
              <w:rPr>
                <w:rFonts w:hint="eastAsia"/>
                <w:color w:val="auto"/>
                <w:lang w:val="en-US" w:eastAsia="zh-CN"/>
              </w:rPr>
              <w:t>意外伤害控制：工作时间不吸烟喝酒、不酒后驾车等，对员工开展安全教育</w:t>
            </w:r>
          </w:p>
          <w:p>
            <w:pPr>
              <w:rPr>
                <w:szCs w:val="21"/>
              </w:rPr>
            </w:pPr>
            <w:r>
              <w:rPr>
                <w:rFonts w:hint="eastAsia"/>
                <w:szCs w:val="21"/>
              </w:rPr>
              <w:t>为销售人员上人身意外险</w:t>
            </w:r>
          </w:p>
          <w:p>
            <w:pPr>
              <w:ind w:firstLine="420" w:firstLineChars="200"/>
              <w:rPr>
                <w:szCs w:val="21"/>
              </w:rPr>
            </w:pPr>
            <w:r>
              <w:rPr>
                <w:rFonts w:hint="eastAsia"/>
                <w:szCs w:val="21"/>
              </w:rPr>
              <w:t>查到公司为员工缴纳了养老、工伤、医疗等保险。</w:t>
            </w:r>
          </w:p>
          <w:p>
            <w:pPr>
              <w:ind w:firstLine="420" w:firstLineChars="200"/>
              <w:rPr>
                <w:szCs w:val="21"/>
              </w:rPr>
            </w:pPr>
            <w:r>
              <w:rPr>
                <w:rFonts w:hint="eastAsia"/>
                <w:szCs w:val="21"/>
              </w:rPr>
              <w:t>提供了缴纳保险的票据及社会保险在职人员信息统计表。</w:t>
            </w:r>
          </w:p>
          <w:p>
            <w:pPr>
              <w:ind w:firstLine="420" w:firstLineChars="200"/>
              <w:rPr>
                <w:szCs w:val="21"/>
              </w:rPr>
            </w:pPr>
            <w:r>
              <w:rPr>
                <w:rFonts w:hint="eastAsia"/>
                <w:szCs w:val="21"/>
              </w:rPr>
              <w:t>驾驶员要求遵守道路交通安全法，不违章驾车，驾驶证和车辆定期年审，确保行车安全。</w:t>
            </w:r>
          </w:p>
          <w:p>
            <w:pPr>
              <w:ind w:firstLine="420" w:firstLineChars="200"/>
              <w:rPr>
                <w:szCs w:val="21"/>
              </w:rPr>
            </w:pPr>
            <w:r>
              <w:rPr>
                <w:rFonts w:hint="eastAsia"/>
                <w:szCs w:val="21"/>
              </w:rPr>
              <w:t xml:space="preserve">公司无食堂  </w:t>
            </w:r>
          </w:p>
          <w:p>
            <w:pPr>
              <w:ind w:firstLine="420" w:firstLineChars="200"/>
              <w:rPr>
                <w:rFonts w:hint="eastAsia" w:eastAsia="宋体"/>
                <w:szCs w:val="21"/>
                <w:lang w:val="en-US" w:eastAsia="zh-CN"/>
              </w:rPr>
            </w:pPr>
            <w:r>
              <w:rPr>
                <w:rFonts w:hint="eastAsia"/>
                <w:szCs w:val="21"/>
              </w:rPr>
              <w:t>提供财务资金保障情况</w:t>
            </w:r>
            <w:r>
              <w:rPr>
                <w:rFonts w:hint="eastAsia"/>
                <w:szCs w:val="21"/>
                <w:lang w:val="en-US" w:eastAsia="zh-CN"/>
              </w:rPr>
              <w:t>记录</w:t>
            </w:r>
          </w:p>
          <w:p>
            <w:pPr>
              <w:ind w:firstLine="420" w:firstLineChars="200"/>
              <w:rPr>
                <w:szCs w:val="21"/>
              </w:rPr>
            </w:pPr>
            <w:r>
              <w:rPr>
                <w:rFonts w:hint="eastAsia"/>
                <w:szCs w:val="21"/>
              </w:rPr>
              <w:t xml:space="preserve"> 现场与公司的财务经理沟通，公司建立了完善的财务管理制度，公司的环境及职业健康安全资金保障充足。</w:t>
            </w:r>
          </w:p>
          <w:p>
            <w:pPr>
              <w:ind w:firstLine="420" w:firstLineChars="200"/>
              <w:rPr>
                <w:rFonts w:hint="eastAsia"/>
                <w:szCs w:val="21"/>
              </w:rPr>
            </w:pPr>
            <w:r>
              <w:rPr>
                <w:rFonts w:hint="eastAsia"/>
                <w:szCs w:val="21"/>
                <w:lang w:val="en-US" w:eastAsia="zh-CN"/>
              </w:rPr>
              <w:t>环境、</w:t>
            </w:r>
            <w:r>
              <w:rPr>
                <w:rFonts w:hint="eastAsia"/>
                <w:szCs w:val="21"/>
              </w:rPr>
              <w:t>职业健康安全运行正常</w:t>
            </w:r>
          </w:p>
          <w:p>
            <w:pPr>
              <w:spacing w:before="120" w:line="160" w:lineRule="exact"/>
              <w:rPr>
                <w:rFonts w:ascii="宋体" w:hAnsi="宋体" w:eastAsia="宋体" w:cs="Times New Roman"/>
                <w:kern w:val="2"/>
                <w:sz w:val="21"/>
                <w:szCs w:val="21"/>
                <w:lang w:val="en-US" w:eastAsia="zh-CN" w:bidi="ar-SA"/>
              </w:rPr>
            </w:pPr>
          </w:p>
        </w:tc>
        <w:tc>
          <w:tcPr>
            <w:tcW w:w="837" w:type="dxa"/>
            <w:gridSpan w:val="2"/>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656" w:type="dxa"/>
          </w:tcPr>
          <w:p>
            <w:pPr>
              <w:spacing w:line="280" w:lineRule="exact"/>
              <w:rPr>
                <w:szCs w:val="21"/>
              </w:rPr>
            </w:pPr>
            <w:r>
              <w:rPr>
                <w:rFonts w:hint="eastAsia"/>
                <w:szCs w:val="21"/>
              </w:rPr>
              <w:t>应急准备和响应</w:t>
            </w:r>
          </w:p>
          <w:p>
            <w:pPr>
              <w:spacing w:line="280" w:lineRule="exact"/>
              <w:rPr>
                <w:rFonts w:ascii="宋体" w:hAnsi="宋体" w:cs="宋体"/>
                <w:szCs w:val="21"/>
              </w:rPr>
            </w:pPr>
          </w:p>
        </w:tc>
        <w:tc>
          <w:tcPr>
            <w:tcW w:w="1269" w:type="dxa"/>
          </w:tcPr>
          <w:p>
            <w:pPr>
              <w:spacing w:line="280" w:lineRule="exact"/>
              <w:rPr>
                <w:szCs w:val="21"/>
              </w:rPr>
            </w:pPr>
            <w:r>
              <w:rPr>
                <w:szCs w:val="21"/>
              </w:rPr>
              <w:t>ES</w:t>
            </w:r>
            <w:r>
              <w:rPr>
                <w:rFonts w:hint="eastAsia"/>
                <w:szCs w:val="21"/>
              </w:rPr>
              <w:t>8.2</w:t>
            </w:r>
          </w:p>
          <w:p>
            <w:pPr>
              <w:spacing w:line="280" w:lineRule="exact"/>
              <w:rPr>
                <w:rFonts w:ascii="宋体" w:hAnsi="宋体" w:cs="宋体"/>
                <w:szCs w:val="21"/>
              </w:rPr>
            </w:pPr>
          </w:p>
        </w:tc>
        <w:tc>
          <w:tcPr>
            <w:tcW w:w="11138" w:type="dxa"/>
            <w:gridSpan w:val="2"/>
            <w:vAlign w:val="center"/>
          </w:tcPr>
          <w:p>
            <w:pPr>
              <w:rPr>
                <w:rFonts w:cs="Lucida Sans"/>
              </w:rPr>
            </w:pPr>
            <w:r>
              <w:rPr>
                <w:rFonts w:hint="eastAsia" w:cs="Lucida Sans"/>
              </w:rPr>
              <w:t>公司编制了火灾、触电应急预案，查看内容基本符合要求。查应急预案评估报告，通过以上评估，公司应急预案的制定基本合理。</w:t>
            </w:r>
          </w:p>
          <w:p>
            <w:pPr>
              <w:rPr>
                <w:rFonts w:cs="Lucida Sans"/>
              </w:rPr>
            </w:pPr>
            <w:r>
              <w:rPr>
                <w:rFonts w:hint="eastAsia" w:cs="Lucida Sans"/>
              </w:rPr>
              <w:t xml:space="preserve">参加了公司组织的消防演练，均接受过培训，知晓灭火器使用和各种火情的灭火方法。 </w:t>
            </w:r>
          </w:p>
          <w:p>
            <w:pPr>
              <w:rPr>
                <w:rFonts w:cs="Lucida Sans"/>
              </w:rPr>
            </w:pPr>
            <w:r>
              <w:rPr>
                <w:rFonts w:hint="eastAsia" w:cs="Lucida Sans"/>
              </w:rPr>
              <w:t>提供了《触电应急预案》及《火灾应急预案》，包括发生火灾及触电等紧急情况的处置和应急抢救方案等内容。</w:t>
            </w:r>
          </w:p>
          <w:p>
            <w:pPr>
              <w:rPr>
                <w:rFonts w:cs="Lucida Sans"/>
              </w:rPr>
            </w:pPr>
            <w:r>
              <w:rPr>
                <w:rFonts w:hint="eastAsia" w:cs="Lucida Sans"/>
              </w:rPr>
              <w:t>出示了“应急预案演练记录”</w:t>
            </w:r>
          </w:p>
          <w:p>
            <w:pPr>
              <w:rPr>
                <w:rFonts w:cs="Lucida Sans"/>
              </w:rPr>
            </w:pPr>
            <w:r>
              <w:rPr>
                <w:rFonts w:hint="eastAsia" w:cs="Lucida Sans"/>
              </w:rPr>
              <w:t xml:space="preserve">组织部门：综合部  演练主持人：耿敬攀 </w:t>
            </w:r>
          </w:p>
          <w:p>
            <w:pPr>
              <w:rPr>
                <w:rFonts w:cs="Lucida Sans"/>
              </w:rPr>
            </w:pPr>
            <w:r>
              <w:rPr>
                <w:rFonts w:hint="eastAsia" w:cs="Lucida Sans"/>
              </w:rPr>
              <w:t xml:space="preserve">参加演练人员名单：于淼、付博、杨云博、周坤等公司全体人员。    </w:t>
            </w:r>
          </w:p>
          <w:p>
            <w:pPr>
              <w:rPr>
                <w:rFonts w:cs="Lucida Sans"/>
              </w:rPr>
            </w:pPr>
            <w:r>
              <w:rPr>
                <w:rFonts w:hint="eastAsia" w:cs="Lucida Sans"/>
              </w:rPr>
              <w:t>1.演练目的：演练目的、内容：</w:t>
            </w:r>
          </w:p>
          <w:p>
            <w:pPr>
              <w:rPr>
                <w:rFonts w:cs="Lucida Sans"/>
              </w:rPr>
            </w:pPr>
            <w:r>
              <w:rPr>
                <w:rFonts w:hint="eastAsia" w:cs="Lucida Sans"/>
              </w:rPr>
              <w:t>为了使员工了解火灾发生时的应急自救知识，掌握应对火灾发生时采取的防护措施和方法，最大限度地降低火灾爆炸带来的损失，从而提高员工紧急避险、自救自护和应变的能力。</w:t>
            </w:r>
          </w:p>
          <w:p>
            <w:pPr>
              <w:rPr>
                <w:rFonts w:cs="Lucida Sans"/>
              </w:rPr>
            </w:pPr>
            <w:r>
              <w:rPr>
                <w:rFonts w:hint="eastAsia" w:cs="Lucida Sans"/>
              </w:rPr>
              <w:t>2.演练小结：参加人员基本了解，掌握了紧急心肺复苏的方法和现场撤离路线。</w:t>
            </w:r>
          </w:p>
          <w:p>
            <w:pPr>
              <w:rPr>
                <w:rFonts w:cs="Lucida Sans"/>
              </w:rPr>
            </w:pPr>
            <w:r>
              <w:rPr>
                <w:rFonts w:hint="eastAsia" w:cs="Lucida Sans"/>
              </w:rPr>
              <w:t>3.存在的问题及整改措施：义务安全员应经常检查火灾隐患，发现问题及时整改，今后应定期进行火灾应急演练。争取得到周边单位的配合和参与。以提高公司员工的火灾防范安全意识。</w:t>
            </w:r>
          </w:p>
          <w:p>
            <w:pPr>
              <w:rPr>
                <w:rFonts w:cs="Lucida Sans"/>
              </w:rPr>
            </w:pPr>
            <w:r>
              <w:rPr>
                <w:rFonts w:hint="eastAsia" w:cs="Lucida Sans"/>
              </w:rPr>
              <w:t>填写部门：综合部  填写日期：2020年0</w:t>
            </w:r>
            <w:r>
              <w:rPr>
                <w:rFonts w:cs="Lucida Sans"/>
              </w:rPr>
              <w:t>5</w:t>
            </w:r>
            <w:r>
              <w:rPr>
                <w:rFonts w:hint="eastAsia" w:cs="Lucida Sans"/>
              </w:rPr>
              <w:t>月2</w:t>
            </w:r>
            <w:r>
              <w:rPr>
                <w:rFonts w:cs="Lucida Sans"/>
              </w:rPr>
              <w:t>6</w:t>
            </w:r>
            <w:r>
              <w:rPr>
                <w:rFonts w:hint="eastAsia" w:cs="Lucida Sans"/>
              </w:rPr>
              <w:t>日</w:t>
            </w:r>
          </w:p>
          <w:p>
            <w:pPr>
              <w:spacing w:line="360" w:lineRule="auto"/>
              <w:ind w:firstLine="420" w:firstLineChars="200"/>
              <w:rPr>
                <w:rFonts w:ascii="宋体" w:hAnsi="宋体"/>
                <w:szCs w:val="21"/>
              </w:rPr>
            </w:pPr>
            <w:r>
              <w:rPr>
                <w:rFonts w:hint="eastAsia" w:cs="Lucida Sans"/>
              </w:rPr>
              <w:t>提供了“应急预案评审记录”，演练后对预案适宜性充分性进行了评审，结论：预案适用无需修订</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56" w:type="dxa"/>
            <w:vAlign w:val="top"/>
          </w:tcPr>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是否具备二阶段审核结论</w:t>
            </w:r>
          </w:p>
          <w:p>
            <w:pPr>
              <w:tabs>
                <w:tab w:val="left" w:pos="7380"/>
              </w:tabs>
              <w:rPr>
                <w:rFonts w:hint="eastAsia" w:ascii="宋体" w:hAnsi="宋体" w:eastAsia="宋体" w:cs="Tahoma"/>
                <w:szCs w:val="21"/>
                <w:lang w:val="en-US" w:eastAsia="zh-CN"/>
              </w:rPr>
            </w:pPr>
          </w:p>
          <w:p>
            <w:pPr>
              <w:tabs>
                <w:tab w:val="left" w:pos="7380"/>
              </w:tabs>
              <w:rPr>
                <w:rFonts w:hint="eastAsia" w:ascii="宋体" w:hAnsi="宋体" w:eastAsia="宋体" w:cs="Tahoma"/>
                <w:kern w:val="2"/>
                <w:sz w:val="21"/>
                <w:szCs w:val="21"/>
                <w:lang w:val="en-US" w:eastAsia="zh-CN" w:bidi="ar-SA"/>
              </w:rPr>
            </w:pPr>
            <w:r>
              <w:rPr>
                <w:rFonts w:hint="eastAsia" w:ascii="宋体" w:hAnsi="宋体" w:eastAsia="宋体" w:cs="Tahoma"/>
                <w:szCs w:val="21"/>
                <w:lang w:val="en-US" w:eastAsia="zh-CN"/>
              </w:rPr>
              <w:t>第二阶段重要审核点等相关内容</w:t>
            </w:r>
          </w:p>
        </w:tc>
        <w:tc>
          <w:tcPr>
            <w:tcW w:w="1269" w:type="dxa"/>
            <w:vAlign w:val="top"/>
          </w:tcPr>
          <w:p>
            <w:pPr>
              <w:tabs>
                <w:tab w:val="left" w:pos="7380"/>
              </w:tabs>
              <w:rPr>
                <w:rFonts w:hint="eastAsia" w:ascii="宋体" w:hAnsi="宋体" w:eastAsia="宋体" w:cs="Tahoma"/>
                <w:kern w:val="2"/>
                <w:sz w:val="21"/>
                <w:szCs w:val="21"/>
                <w:lang w:val="en-US" w:eastAsia="zh-CN" w:bidi="ar-SA"/>
              </w:rPr>
            </w:pPr>
          </w:p>
        </w:tc>
        <w:tc>
          <w:tcPr>
            <w:tcW w:w="10947" w:type="dxa"/>
            <w:vAlign w:val="top"/>
          </w:tcPr>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通过一阶段对受审核方的管理、服务及销售巡视和观察，对管理体系绩效要求有重大影响的过程、活动、场所和现场运行进行观察、巡视及总体性评价，组织具备二阶段审核条件，可进行二阶段审核。</w:t>
            </w:r>
          </w:p>
          <w:p>
            <w:pPr>
              <w:tabs>
                <w:tab w:val="left" w:pos="7380"/>
              </w:tabs>
              <w:rPr>
                <w:rFonts w:hint="eastAsia" w:ascii="宋体" w:hAnsi="宋体" w:eastAsia="宋体" w:cs="Tahoma"/>
                <w:szCs w:val="21"/>
                <w:lang w:val="en-US" w:eastAsia="zh-CN"/>
              </w:rPr>
            </w:pPr>
          </w:p>
          <w:p>
            <w:pPr>
              <w:tabs>
                <w:tab w:val="left" w:pos="7380"/>
              </w:tabs>
              <w:rPr>
                <w:rFonts w:hint="default" w:ascii="宋体" w:hAnsi="宋体" w:eastAsia="宋体" w:cs="Tahoma"/>
                <w:szCs w:val="21"/>
                <w:lang w:val="en-US" w:eastAsia="zh-CN"/>
              </w:rPr>
            </w:pPr>
            <w:r>
              <w:rPr>
                <w:rFonts w:hint="eastAsia" w:ascii="宋体" w:hAnsi="宋体" w:eastAsia="宋体" w:cs="Tahoma"/>
                <w:szCs w:val="21"/>
                <w:lang w:val="en-US" w:eastAsia="zh-CN"/>
              </w:rPr>
              <w:t>二阶段重点审核：</w:t>
            </w:r>
          </w:p>
          <w:p>
            <w:pPr>
              <w:tabs>
                <w:tab w:val="left" w:pos="7380"/>
              </w:tabs>
              <w:rPr>
                <w:rFonts w:hint="default" w:ascii="宋体" w:hAnsi="宋体" w:eastAsia="宋体" w:cs="Tahoma"/>
                <w:szCs w:val="21"/>
                <w:lang w:val="en-US" w:eastAsia="zh-CN"/>
              </w:rPr>
            </w:pPr>
            <w:r>
              <w:rPr>
                <w:rFonts w:hint="eastAsia" w:ascii="宋体" w:hAnsi="宋体" w:eastAsia="宋体" w:cs="Tahoma"/>
                <w:szCs w:val="21"/>
                <w:lang w:val="en-US" w:eastAsia="zh-CN"/>
              </w:rPr>
              <w:t>Q:技术服务控制过程、销售过程、采购过程、检验过程等</w:t>
            </w:r>
          </w:p>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E:环境因素识别、重要环境因素管理方案、相关方的信息沟通、应急准备和响应控制措施等</w:t>
            </w:r>
          </w:p>
          <w:p>
            <w:pPr>
              <w:pStyle w:val="9"/>
              <w:rPr>
                <w:rFonts w:hint="default"/>
                <w:lang w:val="en-US" w:eastAsia="zh-CN"/>
              </w:rPr>
            </w:pPr>
            <w:r>
              <w:rPr>
                <w:rFonts w:hint="eastAsia" w:ascii="宋体" w:hAnsi="宋体" w:cs="Tahoma"/>
                <w:szCs w:val="21"/>
                <w:lang w:val="en-US" w:eastAsia="zh-CN"/>
              </w:rPr>
              <w:t>O:危险源辨识、不可接受风险识别及管理方案、</w:t>
            </w:r>
            <w:r>
              <w:rPr>
                <w:rFonts w:hint="eastAsia" w:ascii="宋体" w:hAnsi="宋体" w:eastAsia="宋体" w:cs="Tahoma"/>
                <w:szCs w:val="21"/>
                <w:lang w:val="en-US" w:eastAsia="zh-CN"/>
              </w:rPr>
              <w:t>相关方的信息沟通、应急准备和响应控制措施等</w:t>
            </w:r>
          </w:p>
          <w:p>
            <w:pPr>
              <w:tabs>
                <w:tab w:val="left" w:pos="7380"/>
              </w:tabs>
              <w:rPr>
                <w:rFonts w:hint="default" w:ascii="宋体" w:hAnsi="宋体" w:eastAsia="宋体" w:cs="Tahoma"/>
                <w:szCs w:val="21"/>
                <w:lang w:val="en-US" w:eastAsia="zh-CN"/>
              </w:rPr>
            </w:pPr>
            <w:r>
              <w:rPr>
                <w:rFonts w:hint="eastAsia" w:ascii="宋体" w:hAnsi="宋体" w:eastAsia="宋体" w:cs="Tahoma"/>
                <w:szCs w:val="21"/>
                <w:lang w:val="en-US" w:eastAsia="zh-CN"/>
              </w:rPr>
              <w:t>重点审核部门：综合部、</w:t>
            </w:r>
            <w:r>
              <w:rPr>
                <w:rFonts w:hint="eastAsia" w:ascii="宋体" w:hAnsi="宋体" w:cs="Tahoma"/>
                <w:szCs w:val="21"/>
                <w:lang w:val="en-US" w:eastAsia="zh-CN"/>
              </w:rPr>
              <w:t>技术部</w:t>
            </w:r>
          </w:p>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重点审核过程：环境因素识别、风险识别评价、运行过程、监视和测量、不符合控制、合规性评价等。</w:t>
            </w:r>
          </w:p>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重点审核场所：技术服务场所、销售场所、办公场所。</w:t>
            </w:r>
          </w:p>
          <w:p>
            <w:pPr>
              <w:tabs>
                <w:tab w:val="left" w:pos="7380"/>
              </w:tabs>
              <w:rPr>
                <w:rFonts w:hint="default" w:ascii="宋体" w:hAnsi="宋体" w:eastAsia="宋体" w:cs="Tahoma"/>
                <w:kern w:val="2"/>
                <w:sz w:val="21"/>
                <w:szCs w:val="21"/>
                <w:lang w:val="en-US" w:eastAsia="zh-CN" w:bidi="ar-SA"/>
              </w:rPr>
            </w:pPr>
            <w:r>
              <w:rPr>
                <w:rFonts w:hint="eastAsia" w:ascii="宋体" w:hAnsi="宋体" w:eastAsia="宋体" w:cs="Tahoma"/>
                <w:szCs w:val="21"/>
                <w:lang w:val="en-US" w:eastAsia="zh-CN"/>
              </w:rPr>
              <w:t>审核时间：2020.</w:t>
            </w:r>
            <w:r>
              <w:rPr>
                <w:rFonts w:hint="eastAsia" w:ascii="宋体" w:hAnsi="宋体" w:cs="Tahoma"/>
                <w:szCs w:val="21"/>
                <w:lang w:val="en-US" w:eastAsia="zh-CN"/>
              </w:rPr>
              <w:t>11.27-28</w:t>
            </w:r>
          </w:p>
        </w:tc>
        <w:tc>
          <w:tcPr>
            <w:tcW w:w="837" w:type="dxa"/>
            <w:gridSpan w:val="2"/>
          </w:tcPr>
          <w:p>
            <w:pPr>
              <w:rPr>
                <w:rFonts w:asciiTheme="minorEastAsia" w:hAnsiTheme="minorEastAsia" w:eastAsiaTheme="minorEastAsia" w:cstheme="minorEastAsia"/>
                <w:szCs w:val="21"/>
              </w:rPr>
            </w:pPr>
          </w:p>
        </w:tc>
      </w:tr>
    </w:tbl>
    <w:p>
      <w:r>
        <w:ptab w:relativeTo="margin" w:alignment="center" w:leader="none"/>
      </w:r>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Lucida Sans">
    <w:altName w:val="Lucida Sans Unicode"/>
    <w:panose1 w:val="020B0602030504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2"/>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D2160"/>
    <w:rsid w:val="000F5936"/>
    <w:rsid w:val="00152A59"/>
    <w:rsid w:val="0018580D"/>
    <w:rsid w:val="001A2D7F"/>
    <w:rsid w:val="001B513C"/>
    <w:rsid w:val="002461FC"/>
    <w:rsid w:val="002F6C64"/>
    <w:rsid w:val="00337922"/>
    <w:rsid w:val="00340867"/>
    <w:rsid w:val="00346D4E"/>
    <w:rsid w:val="00380837"/>
    <w:rsid w:val="003A198A"/>
    <w:rsid w:val="00410914"/>
    <w:rsid w:val="00485006"/>
    <w:rsid w:val="004911A3"/>
    <w:rsid w:val="00536930"/>
    <w:rsid w:val="005530B6"/>
    <w:rsid w:val="00564E53"/>
    <w:rsid w:val="005D26B9"/>
    <w:rsid w:val="00602AB8"/>
    <w:rsid w:val="00614203"/>
    <w:rsid w:val="00644FE2"/>
    <w:rsid w:val="0067640C"/>
    <w:rsid w:val="006E678B"/>
    <w:rsid w:val="007757F3"/>
    <w:rsid w:val="007E6AEB"/>
    <w:rsid w:val="008066E8"/>
    <w:rsid w:val="008973EE"/>
    <w:rsid w:val="009634A8"/>
    <w:rsid w:val="00971600"/>
    <w:rsid w:val="009973B4"/>
    <w:rsid w:val="009C28C1"/>
    <w:rsid w:val="009F7EED"/>
    <w:rsid w:val="00AA19B1"/>
    <w:rsid w:val="00AF0AAB"/>
    <w:rsid w:val="00B50ED1"/>
    <w:rsid w:val="00BF597E"/>
    <w:rsid w:val="00C51A36"/>
    <w:rsid w:val="00C55228"/>
    <w:rsid w:val="00CE315A"/>
    <w:rsid w:val="00D06F59"/>
    <w:rsid w:val="00D8388C"/>
    <w:rsid w:val="00E078A4"/>
    <w:rsid w:val="00EB0164"/>
    <w:rsid w:val="00ED0F62"/>
    <w:rsid w:val="00F1142F"/>
    <w:rsid w:val="00F87C86"/>
    <w:rsid w:val="00FC5A98"/>
    <w:rsid w:val="016031D9"/>
    <w:rsid w:val="01700A1F"/>
    <w:rsid w:val="020C77F5"/>
    <w:rsid w:val="0229203F"/>
    <w:rsid w:val="02320294"/>
    <w:rsid w:val="026A761D"/>
    <w:rsid w:val="02AB1909"/>
    <w:rsid w:val="03097F8F"/>
    <w:rsid w:val="03EE3AEF"/>
    <w:rsid w:val="044D3BF2"/>
    <w:rsid w:val="04517DE0"/>
    <w:rsid w:val="049247C8"/>
    <w:rsid w:val="05394A1E"/>
    <w:rsid w:val="0563390F"/>
    <w:rsid w:val="05AB5A66"/>
    <w:rsid w:val="05EE146B"/>
    <w:rsid w:val="06085B28"/>
    <w:rsid w:val="063268E2"/>
    <w:rsid w:val="06592B22"/>
    <w:rsid w:val="06A27700"/>
    <w:rsid w:val="070746B2"/>
    <w:rsid w:val="076734E6"/>
    <w:rsid w:val="07AD06EB"/>
    <w:rsid w:val="08121331"/>
    <w:rsid w:val="083500E5"/>
    <w:rsid w:val="08815595"/>
    <w:rsid w:val="08BF3AED"/>
    <w:rsid w:val="09B67D8F"/>
    <w:rsid w:val="0AEA5DDA"/>
    <w:rsid w:val="0BB53E0B"/>
    <w:rsid w:val="0CA54228"/>
    <w:rsid w:val="0CB71131"/>
    <w:rsid w:val="0CB80D72"/>
    <w:rsid w:val="0DCF5C39"/>
    <w:rsid w:val="0E1556EC"/>
    <w:rsid w:val="0E47569A"/>
    <w:rsid w:val="0E807EAF"/>
    <w:rsid w:val="0E9A3732"/>
    <w:rsid w:val="0EBD645D"/>
    <w:rsid w:val="0ECC1CD0"/>
    <w:rsid w:val="0EED0A6D"/>
    <w:rsid w:val="0F3554A6"/>
    <w:rsid w:val="0F4A24B1"/>
    <w:rsid w:val="0F834948"/>
    <w:rsid w:val="0FB240A1"/>
    <w:rsid w:val="106E4F62"/>
    <w:rsid w:val="108219C2"/>
    <w:rsid w:val="127C0884"/>
    <w:rsid w:val="127E6F4E"/>
    <w:rsid w:val="13070F9C"/>
    <w:rsid w:val="13937400"/>
    <w:rsid w:val="13B32E43"/>
    <w:rsid w:val="13E03628"/>
    <w:rsid w:val="13E21228"/>
    <w:rsid w:val="14083AFA"/>
    <w:rsid w:val="14477BD8"/>
    <w:rsid w:val="14C074B9"/>
    <w:rsid w:val="14D0194E"/>
    <w:rsid w:val="155F58E9"/>
    <w:rsid w:val="157E6280"/>
    <w:rsid w:val="15EC3A22"/>
    <w:rsid w:val="16405DBE"/>
    <w:rsid w:val="17334766"/>
    <w:rsid w:val="17375D6B"/>
    <w:rsid w:val="174F7EB6"/>
    <w:rsid w:val="1789777E"/>
    <w:rsid w:val="17B9007E"/>
    <w:rsid w:val="17E61249"/>
    <w:rsid w:val="17ED4878"/>
    <w:rsid w:val="183E4AD4"/>
    <w:rsid w:val="185C1D51"/>
    <w:rsid w:val="18761BE8"/>
    <w:rsid w:val="188236BD"/>
    <w:rsid w:val="19144D7A"/>
    <w:rsid w:val="196C16DA"/>
    <w:rsid w:val="197658FE"/>
    <w:rsid w:val="19B746F1"/>
    <w:rsid w:val="19CC0287"/>
    <w:rsid w:val="19CD0B20"/>
    <w:rsid w:val="1A084F58"/>
    <w:rsid w:val="1A1C2983"/>
    <w:rsid w:val="1AC421C4"/>
    <w:rsid w:val="1B0C37B9"/>
    <w:rsid w:val="1B1A539F"/>
    <w:rsid w:val="1B303CC6"/>
    <w:rsid w:val="1C627294"/>
    <w:rsid w:val="1C642030"/>
    <w:rsid w:val="1CD86067"/>
    <w:rsid w:val="1D094C34"/>
    <w:rsid w:val="1D6F2010"/>
    <w:rsid w:val="1ED24569"/>
    <w:rsid w:val="1EED3319"/>
    <w:rsid w:val="1EF17CF7"/>
    <w:rsid w:val="1F310F57"/>
    <w:rsid w:val="205D5AFA"/>
    <w:rsid w:val="20AA6AAB"/>
    <w:rsid w:val="20E91694"/>
    <w:rsid w:val="20F04213"/>
    <w:rsid w:val="20F75AF0"/>
    <w:rsid w:val="21171A1C"/>
    <w:rsid w:val="227F7918"/>
    <w:rsid w:val="22B03105"/>
    <w:rsid w:val="22C76E54"/>
    <w:rsid w:val="23132509"/>
    <w:rsid w:val="23567095"/>
    <w:rsid w:val="23A90D6C"/>
    <w:rsid w:val="25017BA8"/>
    <w:rsid w:val="267C5B3B"/>
    <w:rsid w:val="26DF0BE0"/>
    <w:rsid w:val="270A0E50"/>
    <w:rsid w:val="279236D1"/>
    <w:rsid w:val="28780890"/>
    <w:rsid w:val="28841C7E"/>
    <w:rsid w:val="2898019B"/>
    <w:rsid w:val="28AF03D1"/>
    <w:rsid w:val="28D43129"/>
    <w:rsid w:val="28DE357E"/>
    <w:rsid w:val="2AEE4149"/>
    <w:rsid w:val="2B2068DF"/>
    <w:rsid w:val="2B336843"/>
    <w:rsid w:val="2B61714B"/>
    <w:rsid w:val="2C3F6B85"/>
    <w:rsid w:val="2C4C70B9"/>
    <w:rsid w:val="2C657F2F"/>
    <w:rsid w:val="2D726C52"/>
    <w:rsid w:val="2E7A25BA"/>
    <w:rsid w:val="2E9477A7"/>
    <w:rsid w:val="2EF72413"/>
    <w:rsid w:val="2F0A30A5"/>
    <w:rsid w:val="2F9E49DE"/>
    <w:rsid w:val="2FA93088"/>
    <w:rsid w:val="2FCA3D2E"/>
    <w:rsid w:val="2FDB118D"/>
    <w:rsid w:val="301503AB"/>
    <w:rsid w:val="30B26641"/>
    <w:rsid w:val="30F11502"/>
    <w:rsid w:val="31E7088E"/>
    <w:rsid w:val="325E6175"/>
    <w:rsid w:val="32AB4D7B"/>
    <w:rsid w:val="34182198"/>
    <w:rsid w:val="341F2CF0"/>
    <w:rsid w:val="34FE7B76"/>
    <w:rsid w:val="364D7E25"/>
    <w:rsid w:val="37BC647C"/>
    <w:rsid w:val="37C47C75"/>
    <w:rsid w:val="37F072AB"/>
    <w:rsid w:val="383A5CE5"/>
    <w:rsid w:val="38CC6BF0"/>
    <w:rsid w:val="38D218EE"/>
    <w:rsid w:val="39620650"/>
    <w:rsid w:val="3A8F5907"/>
    <w:rsid w:val="3AFA404A"/>
    <w:rsid w:val="3B4D71AC"/>
    <w:rsid w:val="3B8A40ED"/>
    <w:rsid w:val="3B8C44AE"/>
    <w:rsid w:val="3C2033E1"/>
    <w:rsid w:val="3C923E00"/>
    <w:rsid w:val="3EB55B1E"/>
    <w:rsid w:val="3F5852D2"/>
    <w:rsid w:val="3F924935"/>
    <w:rsid w:val="3FD81520"/>
    <w:rsid w:val="40194BFD"/>
    <w:rsid w:val="40E9016E"/>
    <w:rsid w:val="421B1AE2"/>
    <w:rsid w:val="429F6852"/>
    <w:rsid w:val="43007ABB"/>
    <w:rsid w:val="43596304"/>
    <w:rsid w:val="44086081"/>
    <w:rsid w:val="44801FF5"/>
    <w:rsid w:val="44BB6F4E"/>
    <w:rsid w:val="44CE3024"/>
    <w:rsid w:val="44D54B0B"/>
    <w:rsid w:val="44DB3A8D"/>
    <w:rsid w:val="457A5192"/>
    <w:rsid w:val="469D6807"/>
    <w:rsid w:val="48931CBC"/>
    <w:rsid w:val="49004039"/>
    <w:rsid w:val="4922441A"/>
    <w:rsid w:val="4AAE6C5D"/>
    <w:rsid w:val="4AB442D2"/>
    <w:rsid w:val="4AD13D3E"/>
    <w:rsid w:val="4AF15A00"/>
    <w:rsid w:val="4B0C2EE8"/>
    <w:rsid w:val="4B3F3B3E"/>
    <w:rsid w:val="4BE173AE"/>
    <w:rsid w:val="4C292779"/>
    <w:rsid w:val="4C542AFE"/>
    <w:rsid w:val="4DA20616"/>
    <w:rsid w:val="4DD461B7"/>
    <w:rsid w:val="4EA4309E"/>
    <w:rsid w:val="4EDE0A1E"/>
    <w:rsid w:val="4F2E6357"/>
    <w:rsid w:val="4F353343"/>
    <w:rsid w:val="4FAF1720"/>
    <w:rsid w:val="50080A3B"/>
    <w:rsid w:val="50AC4660"/>
    <w:rsid w:val="50B54941"/>
    <w:rsid w:val="50F4061B"/>
    <w:rsid w:val="519A380E"/>
    <w:rsid w:val="527201F3"/>
    <w:rsid w:val="52D034C9"/>
    <w:rsid w:val="53681C67"/>
    <w:rsid w:val="53833895"/>
    <w:rsid w:val="53DB5EEE"/>
    <w:rsid w:val="54E857F9"/>
    <w:rsid w:val="559E18D7"/>
    <w:rsid w:val="55A92C67"/>
    <w:rsid w:val="55D94ABB"/>
    <w:rsid w:val="564B3B4B"/>
    <w:rsid w:val="567A1742"/>
    <w:rsid w:val="5794697E"/>
    <w:rsid w:val="57C261E2"/>
    <w:rsid w:val="58164890"/>
    <w:rsid w:val="58364B3B"/>
    <w:rsid w:val="583D2730"/>
    <w:rsid w:val="59B51302"/>
    <w:rsid w:val="5ACE1865"/>
    <w:rsid w:val="5AD22955"/>
    <w:rsid w:val="5BED5ECF"/>
    <w:rsid w:val="5C074BB5"/>
    <w:rsid w:val="5C324B6E"/>
    <w:rsid w:val="5D661EA7"/>
    <w:rsid w:val="5D7E3152"/>
    <w:rsid w:val="5E1E20EE"/>
    <w:rsid w:val="5E4A2A4D"/>
    <w:rsid w:val="5E650263"/>
    <w:rsid w:val="5EA12B9A"/>
    <w:rsid w:val="5EAF2FF8"/>
    <w:rsid w:val="5EEB373D"/>
    <w:rsid w:val="5F787693"/>
    <w:rsid w:val="605343A8"/>
    <w:rsid w:val="60AD4CC6"/>
    <w:rsid w:val="611B2B9B"/>
    <w:rsid w:val="622B2A10"/>
    <w:rsid w:val="629A7367"/>
    <w:rsid w:val="62A975E6"/>
    <w:rsid w:val="63525E02"/>
    <w:rsid w:val="635904C6"/>
    <w:rsid w:val="636F085F"/>
    <w:rsid w:val="644F4682"/>
    <w:rsid w:val="64636355"/>
    <w:rsid w:val="64C93330"/>
    <w:rsid w:val="651264CF"/>
    <w:rsid w:val="65DF0C14"/>
    <w:rsid w:val="65EC26E5"/>
    <w:rsid w:val="67796626"/>
    <w:rsid w:val="67C765B2"/>
    <w:rsid w:val="67DA78D8"/>
    <w:rsid w:val="68890868"/>
    <w:rsid w:val="68CB25BD"/>
    <w:rsid w:val="692010FA"/>
    <w:rsid w:val="699957B8"/>
    <w:rsid w:val="69BD7669"/>
    <w:rsid w:val="6A9502DF"/>
    <w:rsid w:val="6B480A94"/>
    <w:rsid w:val="6B4C31AC"/>
    <w:rsid w:val="6B7733B3"/>
    <w:rsid w:val="6BBE2D00"/>
    <w:rsid w:val="6BC81E26"/>
    <w:rsid w:val="6C063ACC"/>
    <w:rsid w:val="6C8068EF"/>
    <w:rsid w:val="6D191EDF"/>
    <w:rsid w:val="6D6B3AF8"/>
    <w:rsid w:val="6D925C6C"/>
    <w:rsid w:val="6DC4767F"/>
    <w:rsid w:val="6E025ED1"/>
    <w:rsid w:val="6E373AB8"/>
    <w:rsid w:val="6E4F1F64"/>
    <w:rsid w:val="6E771EC7"/>
    <w:rsid w:val="6EE23F88"/>
    <w:rsid w:val="6F0E1A81"/>
    <w:rsid w:val="6F1D7201"/>
    <w:rsid w:val="701B3049"/>
    <w:rsid w:val="70861D7F"/>
    <w:rsid w:val="70BD4579"/>
    <w:rsid w:val="7106307D"/>
    <w:rsid w:val="711A2EB2"/>
    <w:rsid w:val="71431F5E"/>
    <w:rsid w:val="71772E88"/>
    <w:rsid w:val="71A54DCA"/>
    <w:rsid w:val="721262CF"/>
    <w:rsid w:val="72586A8C"/>
    <w:rsid w:val="72DF57EB"/>
    <w:rsid w:val="736B0691"/>
    <w:rsid w:val="746E2276"/>
    <w:rsid w:val="74A06F77"/>
    <w:rsid w:val="74E67290"/>
    <w:rsid w:val="7505395A"/>
    <w:rsid w:val="75D83D48"/>
    <w:rsid w:val="764A3BAD"/>
    <w:rsid w:val="76A61C78"/>
    <w:rsid w:val="77327636"/>
    <w:rsid w:val="77443805"/>
    <w:rsid w:val="77634AF4"/>
    <w:rsid w:val="776569B7"/>
    <w:rsid w:val="79D03FA2"/>
    <w:rsid w:val="79F644BC"/>
    <w:rsid w:val="7A4D0A5B"/>
    <w:rsid w:val="7A715CAF"/>
    <w:rsid w:val="7AB739AF"/>
    <w:rsid w:val="7ABE5BA4"/>
    <w:rsid w:val="7B110D85"/>
    <w:rsid w:val="7B132209"/>
    <w:rsid w:val="7BFB5444"/>
    <w:rsid w:val="7C0A479B"/>
    <w:rsid w:val="7C0D2B38"/>
    <w:rsid w:val="7CD56D1D"/>
    <w:rsid w:val="7CEA10C5"/>
    <w:rsid w:val="7D58139C"/>
    <w:rsid w:val="7DC4606F"/>
    <w:rsid w:val="7E0C57DA"/>
    <w:rsid w:val="7E522F2D"/>
    <w:rsid w:val="7E5B6366"/>
    <w:rsid w:val="7E7A730D"/>
    <w:rsid w:val="7E826134"/>
    <w:rsid w:val="7F855C0E"/>
    <w:rsid w:val="7FB877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Indent"/>
    <w:basedOn w:val="1"/>
    <w:qFormat/>
    <w:uiPriority w:val="0"/>
    <w:pPr>
      <w:ind w:firstLine="560" w:firstLineChars="200"/>
    </w:pPr>
    <w:rPr>
      <w:rFonts w:ascii="宋体" w:hAnsi="宋体"/>
      <w:color w:val="FF0000"/>
      <w:sz w:val="28"/>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Body Text First Indent 2"/>
    <w:basedOn w:val="3"/>
    <w:qFormat/>
    <w:uiPriority w:val="0"/>
    <w:pPr>
      <w:ind w:firstLine="420"/>
      <w:jc w:val="left"/>
    </w:pPr>
    <w:rPr>
      <w:rFonts w:eastAsia="仿宋_GB2312"/>
      <w:color w:val="000000"/>
    </w:rPr>
  </w:style>
  <w:style w:type="paragraph" w:customStyle="1" w:styleId="9">
    <w:name w:val="表格文字"/>
    <w:basedOn w:val="1"/>
    <w:qFormat/>
    <w:uiPriority w:val="0"/>
    <w:pPr>
      <w:spacing w:before="25" w:after="25"/>
    </w:pPr>
    <w:rPr>
      <w:bCs/>
      <w:spacing w:val="10"/>
    </w:rPr>
  </w:style>
  <w:style w:type="character" w:customStyle="1" w:styleId="10">
    <w:name w:val="页眉 字符"/>
    <w:basedOn w:val="8"/>
    <w:link w:val="2"/>
    <w:qFormat/>
    <w:uiPriority w:val="99"/>
    <w:rPr>
      <w:rFonts w:ascii="Times New Roman" w:hAnsi="Times New Roman" w:eastAsia="宋体" w:cs="Times New Roman"/>
      <w:sz w:val="18"/>
      <w:szCs w:val="18"/>
    </w:rPr>
  </w:style>
  <w:style w:type="character" w:customStyle="1" w:styleId="11">
    <w:name w:val="页脚 字符"/>
    <w:basedOn w:val="8"/>
    <w:link w:val="5"/>
    <w:qFormat/>
    <w:uiPriority w:val="99"/>
    <w:rPr>
      <w:rFonts w:ascii="Times New Roman" w:hAnsi="Times New Roman" w:eastAsia="宋体" w:cs="Times New Roman"/>
      <w:sz w:val="18"/>
      <w:szCs w:val="18"/>
    </w:rPr>
  </w:style>
  <w:style w:type="character" w:customStyle="1" w:styleId="12">
    <w:name w:val="批注框文本 字符"/>
    <w:basedOn w:val="8"/>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_Style 2"/>
    <w:basedOn w:val="1"/>
    <w:qFormat/>
    <w:uiPriority w:val="34"/>
    <w:pPr>
      <w:widowControl/>
      <w:ind w:firstLine="420" w:firstLineChars="200"/>
      <w:jc w:val="left"/>
    </w:pPr>
    <w:rPr>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902</Words>
  <Characters>5145</Characters>
  <Lines>42</Lines>
  <Paragraphs>12</Paragraphs>
  <TotalTime>2</TotalTime>
  <ScaleCrop>false</ScaleCrop>
  <LinksUpToDate>false</LinksUpToDate>
  <CharactersWithSpaces>6035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2020-11-28T03:22:00Z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