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default" w:ascii="隶书" w:hAnsi="宋体" w:eastAsia="隶书"/>
          <w:bCs/>
          <w:color w:val="000000"/>
          <w:sz w:val="36"/>
          <w:szCs w:val="36"/>
          <w:lang w:val="en-US" w:eastAsia="zh-CN"/>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7"/>
        <w:gridCol w:w="1070"/>
        <w:gridCol w:w="11098"/>
        <w:gridCol w:w="74"/>
        <w:gridCol w:w="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707" w:type="dxa"/>
            <w:vMerge w:val="restart"/>
            <w:vAlign w:val="center"/>
          </w:tcPr>
          <w:p>
            <w:pPr>
              <w:spacing w:line="320" w:lineRule="exact"/>
              <w:jc w:val="center"/>
              <w:rPr>
                <w:rFonts w:ascii="宋体" w:hAnsi="宋体" w:cs="宋体"/>
                <w:color w:val="auto"/>
                <w:sz w:val="24"/>
                <w:szCs w:val="24"/>
              </w:rPr>
            </w:pPr>
            <w:r>
              <w:rPr>
                <w:rFonts w:hint="eastAsia" w:ascii="宋体" w:hAnsi="宋体" w:cs="宋体"/>
                <w:color w:val="auto"/>
                <w:sz w:val="24"/>
                <w:szCs w:val="24"/>
              </w:rPr>
              <w:t>过程与活动、</w:t>
            </w:r>
          </w:p>
          <w:p>
            <w:pPr>
              <w:spacing w:line="320" w:lineRule="exact"/>
              <w:jc w:val="center"/>
              <w:rPr>
                <w:rFonts w:ascii="宋体" w:hAnsi="宋体" w:cs="宋体"/>
                <w:color w:val="auto"/>
                <w:sz w:val="24"/>
                <w:szCs w:val="24"/>
              </w:rPr>
            </w:pPr>
            <w:r>
              <w:rPr>
                <w:rFonts w:hint="eastAsia" w:ascii="宋体" w:hAnsi="宋体" w:cs="宋体"/>
                <w:color w:val="auto"/>
                <w:sz w:val="24"/>
                <w:szCs w:val="24"/>
              </w:rPr>
              <w:t>抽样计划</w:t>
            </w:r>
          </w:p>
        </w:tc>
        <w:tc>
          <w:tcPr>
            <w:tcW w:w="1070" w:type="dxa"/>
            <w:vMerge w:val="restart"/>
            <w:vAlign w:val="center"/>
          </w:tcPr>
          <w:p>
            <w:pPr>
              <w:spacing w:line="320" w:lineRule="exact"/>
              <w:rPr>
                <w:rFonts w:ascii="宋体" w:hAnsi="宋体" w:cs="宋体"/>
                <w:color w:val="auto"/>
                <w:sz w:val="24"/>
                <w:szCs w:val="24"/>
              </w:rPr>
            </w:pPr>
            <w:r>
              <w:rPr>
                <w:rFonts w:hint="eastAsia" w:ascii="宋体" w:hAnsi="宋体" w:cs="宋体"/>
                <w:color w:val="auto"/>
                <w:sz w:val="24"/>
                <w:szCs w:val="24"/>
              </w:rPr>
              <w:t>涉及</w:t>
            </w:r>
          </w:p>
          <w:p>
            <w:pPr>
              <w:spacing w:line="320" w:lineRule="exact"/>
              <w:rPr>
                <w:rFonts w:ascii="宋体" w:hAnsi="宋体" w:cs="宋体"/>
                <w:color w:val="auto"/>
                <w:sz w:val="24"/>
                <w:szCs w:val="24"/>
              </w:rPr>
            </w:pPr>
            <w:r>
              <w:rPr>
                <w:rFonts w:hint="eastAsia" w:ascii="宋体" w:hAnsi="宋体" w:cs="宋体"/>
                <w:color w:val="auto"/>
                <w:sz w:val="24"/>
                <w:szCs w:val="24"/>
              </w:rPr>
              <w:t>条款</w:t>
            </w:r>
          </w:p>
        </w:tc>
        <w:tc>
          <w:tcPr>
            <w:tcW w:w="11172" w:type="dxa"/>
            <w:gridSpan w:val="2"/>
            <w:vAlign w:val="center"/>
          </w:tcPr>
          <w:p>
            <w:pPr>
              <w:spacing w:line="320" w:lineRule="exact"/>
              <w:rPr>
                <w:rFonts w:ascii="宋体" w:hAnsi="宋体" w:cs="宋体"/>
                <w:color w:val="auto"/>
                <w:sz w:val="24"/>
                <w:szCs w:val="24"/>
              </w:rPr>
            </w:pPr>
            <w:r>
              <w:rPr>
                <w:rFonts w:hint="eastAsia" w:ascii="宋体" w:hAnsi="宋体" w:cs="宋体"/>
                <w:color w:val="auto"/>
                <w:sz w:val="24"/>
                <w:szCs w:val="24"/>
              </w:rPr>
              <w:t>受审核部门：</w:t>
            </w:r>
            <w:r>
              <w:rPr>
                <w:rFonts w:hint="eastAsia" w:ascii="宋体" w:hAnsi="宋体" w:cs="宋体"/>
                <w:b/>
                <w:bCs/>
                <w:color w:val="auto"/>
                <w:sz w:val="24"/>
                <w:szCs w:val="24"/>
                <w:lang w:eastAsia="zh-CN"/>
              </w:rPr>
              <w:t>技术部</w:t>
            </w:r>
            <w:r>
              <w:rPr>
                <w:rFonts w:hint="eastAsia" w:ascii="宋体" w:hAnsi="宋体" w:cs="宋体"/>
                <w:color w:val="auto"/>
                <w:sz w:val="24"/>
                <w:szCs w:val="24"/>
              </w:rPr>
              <w:t xml:space="preserve">    主管领导</w:t>
            </w:r>
            <w:r>
              <w:rPr>
                <w:rFonts w:hint="eastAsia" w:ascii="宋体" w:hAnsi="宋体" w:cs="宋体"/>
                <w:color w:val="auto"/>
                <w:sz w:val="24"/>
                <w:szCs w:val="24"/>
                <w:lang w:eastAsia="zh-CN"/>
              </w:rPr>
              <w:t>：</w:t>
            </w:r>
            <w:r>
              <w:rPr>
                <w:rFonts w:hint="eastAsia"/>
                <w:color w:val="auto"/>
              </w:rPr>
              <w:t>冯晓东</w:t>
            </w:r>
            <w:r>
              <w:rPr>
                <w:rFonts w:hint="eastAsia"/>
                <w:color w:val="auto"/>
                <w:lang w:val="en-US" w:eastAsia="zh-CN"/>
              </w:rPr>
              <w:t xml:space="preserve">      </w:t>
            </w:r>
            <w:r>
              <w:rPr>
                <w:rFonts w:hint="eastAsia" w:ascii="宋体" w:hAnsi="宋体" w:cs="宋体"/>
                <w:color w:val="auto"/>
                <w:sz w:val="24"/>
                <w:szCs w:val="24"/>
              </w:rPr>
              <w:t>陪同人员：</w:t>
            </w:r>
            <w:r>
              <w:rPr>
                <w:rFonts w:hint="eastAsia"/>
                <w:color w:val="auto"/>
              </w:rPr>
              <w:t>付博</w:t>
            </w:r>
          </w:p>
        </w:tc>
        <w:tc>
          <w:tcPr>
            <w:tcW w:w="760" w:type="dxa"/>
            <w:vMerge w:val="restart"/>
            <w:vAlign w:val="center"/>
          </w:tcPr>
          <w:p>
            <w:pPr>
              <w:spacing w:line="320" w:lineRule="exact"/>
              <w:rPr>
                <w:rFonts w:ascii="宋体" w:hAnsi="宋体" w:cs="宋体"/>
                <w:color w:val="auto"/>
                <w:szCs w:val="21"/>
              </w:rPr>
            </w:pPr>
            <w:r>
              <w:rPr>
                <w:rFonts w:hint="eastAsia" w:ascii="宋体" w:hAnsi="宋体" w:cs="宋体"/>
                <w:color w:val="auto"/>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07" w:type="dxa"/>
            <w:vMerge w:val="continue"/>
            <w:vAlign w:val="center"/>
          </w:tcPr>
          <w:p>
            <w:pPr>
              <w:spacing w:line="320" w:lineRule="exact"/>
              <w:rPr>
                <w:rFonts w:ascii="宋体" w:hAnsi="宋体" w:cs="宋体"/>
                <w:color w:val="auto"/>
                <w:sz w:val="24"/>
                <w:szCs w:val="24"/>
              </w:rPr>
            </w:pPr>
          </w:p>
        </w:tc>
        <w:tc>
          <w:tcPr>
            <w:tcW w:w="1070" w:type="dxa"/>
            <w:vMerge w:val="continue"/>
            <w:vAlign w:val="center"/>
          </w:tcPr>
          <w:p>
            <w:pPr>
              <w:spacing w:line="320" w:lineRule="exact"/>
              <w:rPr>
                <w:rFonts w:ascii="宋体" w:hAnsi="宋体" w:cs="宋体"/>
                <w:color w:val="auto"/>
                <w:sz w:val="24"/>
                <w:szCs w:val="24"/>
              </w:rPr>
            </w:pPr>
          </w:p>
        </w:tc>
        <w:tc>
          <w:tcPr>
            <w:tcW w:w="11172" w:type="dxa"/>
            <w:gridSpan w:val="2"/>
            <w:vAlign w:val="center"/>
          </w:tcPr>
          <w:p>
            <w:pPr>
              <w:spacing w:line="320" w:lineRule="exact"/>
              <w:rPr>
                <w:rFonts w:hint="default" w:ascii="宋体" w:hAnsi="宋体" w:eastAsia="宋体" w:cs="宋体"/>
                <w:color w:val="auto"/>
                <w:sz w:val="24"/>
                <w:szCs w:val="24"/>
                <w:lang w:val="en-US" w:eastAsia="zh-CN"/>
              </w:rPr>
            </w:pPr>
            <w:r>
              <w:rPr>
                <w:rFonts w:hint="eastAsia" w:ascii="宋体" w:hAnsi="宋体" w:cs="宋体"/>
                <w:color w:val="auto"/>
                <w:sz w:val="24"/>
                <w:szCs w:val="24"/>
              </w:rPr>
              <w:t>审核员：李京田               审核时间：</w:t>
            </w:r>
            <w:r>
              <w:rPr>
                <w:rFonts w:hint="eastAsia" w:ascii="宋体" w:hAnsi="宋体" w:cs="宋体"/>
                <w:color w:val="auto"/>
                <w:sz w:val="24"/>
                <w:szCs w:val="24"/>
                <w:lang w:val="en-US" w:eastAsia="zh-CN"/>
              </w:rPr>
              <w:t>2020.11.25</w:t>
            </w:r>
          </w:p>
        </w:tc>
        <w:tc>
          <w:tcPr>
            <w:tcW w:w="760" w:type="dxa"/>
            <w:vMerge w:val="continue"/>
          </w:tcPr>
          <w:p>
            <w:pPr>
              <w:spacing w:line="320" w:lineRule="exact"/>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707" w:type="dxa"/>
            <w:vMerge w:val="continue"/>
            <w:vAlign w:val="center"/>
          </w:tcPr>
          <w:p>
            <w:pPr>
              <w:spacing w:line="320" w:lineRule="exact"/>
              <w:rPr>
                <w:rFonts w:ascii="宋体" w:hAnsi="宋体" w:cs="宋体"/>
                <w:color w:val="auto"/>
                <w:sz w:val="24"/>
                <w:szCs w:val="24"/>
              </w:rPr>
            </w:pPr>
          </w:p>
        </w:tc>
        <w:tc>
          <w:tcPr>
            <w:tcW w:w="1070" w:type="dxa"/>
            <w:vMerge w:val="continue"/>
            <w:vAlign w:val="center"/>
          </w:tcPr>
          <w:p>
            <w:pPr>
              <w:spacing w:line="320" w:lineRule="exact"/>
              <w:rPr>
                <w:rFonts w:ascii="宋体" w:hAnsi="宋体" w:cs="宋体"/>
                <w:color w:val="auto"/>
                <w:sz w:val="24"/>
                <w:szCs w:val="24"/>
              </w:rPr>
            </w:pPr>
          </w:p>
        </w:tc>
        <w:tc>
          <w:tcPr>
            <w:tcW w:w="11172" w:type="dxa"/>
            <w:gridSpan w:val="2"/>
            <w:vAlign w:val="center"/>
          </w:tcPr>
          <w:p>
            <w:pPr>
              <w:snapToGrid w:val="0"/>
              <w:spacing w:line="260" w:lineRule="exact"/>
              <w:rPr>
                <w:rFonts w:ascii="宋体" w:hAnsi="宋体" w:cs="宋体"/>
                <w:color w:val="auto"/>
                <w:szCs w:val="21"/>
              </w:rPr>
            </w:pPr>
            <w:r>
              <w:rPr>
                <w:rFonts w:hint="eastAsia" w:ascii="宋体" w:hAnsi="宋体" w:cs="宋体"/>
                <w:color w:val="auto"/>
                <w:szCs w:val="21"/>
              </w:rPr>
              <w:t>涉及标准条款：</w:t>
            </w:r>
          </w:p>
          <w:p>
            <w:pPr>
              <w:rPr>
                <w:rFonts w:ascii="宋体" w:hAnsi="宋体" w:cs="宋体"/>
                <w:color w:val="auto"/>
                <w:sz w:val="24"/>
                <w:szCs w:val="24"/>
              </w:rPr>
            </w:pPr>
          </w:p>
        </w:tc>
        <w:tc>
          <w:tcPr>
            <w:tcW w:w="760" w:type="dxa"/>
            <w:vMerge w:val="continue"/>
          </w:tcPr>
          <w:p>
            <w:pPr>
              <w:spacing w:line="320" w:lineRule="exact"/>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707" w:type="dxa"/>
            <w:vAlign w:val="top"/>
          </w:tcPr>
          <w:p>
            <w:pPr>
              <w:rPr>
                <w:rFonts w:ascii="宋体" w:hAnsi="宋体" w:cs="宋体"/>
                <w:color w:val="auto"/>
                <w:szCs w:val="21"/>
              </w:rPr>
            </w:pPr>
            <w:r>
              <w:rPr>
                <w:rFonts w:hint="eastAsia"/>
                <w:color w:val="auto"/>
                <w:szCs w:val="21"/>
              </w:rPr>
              <w:t>组织的岗位、职责权限</w:t>
            </w:r>
          </w:p>
        </w:tc>
        <w:tc>
          <w:tcPr>
            <w:tcW w:w="1070" w:type="dxa"/>
            <w:vAlign w:val="top"/>
          </w:tcPr>
          <w:p>
            <w:pPr>
              <w:rPr>
                <w:rFonts w:hint="eastAsia"/>
                <w:color w:val="auto"/>
                <w:szCs w:val="21"/>
              </w:rPr>
            </w:pPr>
            <w:r>
              <w:rPr>
                <w:rFonts w:hint="eastAsia"/>
                <w:color w:val="auto"/>
                <w:szCs w:val="21"/>
              </w:rPr>
              <w:t>QES5.3</w:t>
            </w:r>
          </w:p>
          <w:p>
            <w:pPr>
              <w:rPr>
                <w:rFonts w:hint="eastAsia"/>
                <w:color w:val="auto"/>
                <w:szCs w:val="21"/>
              </w:rPr>
            </w:pPr>
          </w:p>
          <w:p>
            <w:pPr>
              <w:rPr>
                <w:rFonts w:ascii="宋体" w:hAnsi="宋体" w:cs="宋体"/>
                <w:color w:val="auto"/>
                <w:szCs w:val="21"/>
              </w:rPr>
            </w:pPr>
          </w:p>
        </w:tc>
        <w:tc>
          <w:tcPr>
            <w:tcW w:w="11172" w:type="dxa"/>
            <w:gridSpan w:val="2"/>
            <w:vAlign w:val="center"/>
          </w:tcPr>
          <w:p>
            <w:pPr>
              <w:rPr>
                <w:color w:val="auto"/>
              </w:rPr>
            </w:pPr>
            <w:r>
              <w:rPr>
                <w:rFonts w:hint="eastAsia"/>
                <w:color w:val="auto"/>
                <w:lang w:eastAsia="zh-CN"/>
              </w:rPr>
              <w:t>技术</w:t>
            </w:r>
            <w:r>
              <w:rPr>
                <w:rFonts w:hint="eastAsia"/>
                <w:color w:val="auto"/>
              </w:rPr>
              <w:t>职责包括：</w:t>
            </w:r>
          </w:p>
          <w:p>
            <w:pPr>
              <w:rPr>
                <w:rFonts w:hint="eastAsia"/>
                <w:color w:val="auto"/>
                <w:szCs w:val="22"/>
              </w:rPr>
            </w:pPr>
            <w:r>
              <w:rPr>
                <w:rFonts w:hint="eastAsia"/>
                <w:color w:val="auto"/>
              </w:rPr>
              <w:t>1.负责</w:t>
            </w:r>
            <w:r>
              <w:rPr>
                <w:color w:val="auto"/>
                <w:sz w:val="20"/>
              </w:rPr>
              <w:t>石油管道检测的技术推广服务</w:t>
            </w:r>
            <w:r>
              <w:rPr>
                <w:rFonts w:hint="eastAsia" w:ascii="宋体" w:hAnsi="宋体"/>
                <w:color w:val="auto"/>
                <w:szCs w:val="21"/>
              </w:rPr>
              <w:t>及相关活动</w:t>
            </w:r>
            <w:r>
              <w:rPr>
                <w:rFonts w:hint="eastAsia"/>
                <w:color w:val="auto"/>
                <w:szCs w:val="22"/>
              </w:rPr>
              <w:t>。</w:t>
            </w:r>
          </w:p>
          <w:p>
            <w:pPr>
              <w:rPr>
                <w:rFonts w:hint="eastAsia"/>
                <w:color w:val="auto"/>
                <w:szCs w:val="22"/>
              </w:rPr>
            </w:pPr>
            <w:r>
              <w:rPr>
                <w:rFonts w:hint="eastAsia"/>
                <w:color w:val="auto"/>
                <w:szCs w:val="22"/>
              </w:rPr>
              <w:t>2.负责组织对</w:t>
            </w:r>
            <w:r>
              <w:rPr>
                <w:color w:val="auto"/>
                <w:sz w:val="20"/>
              </w:rPr>
              <w:t>石油管道检测的技术推广服务</w:t>
            </w:r>
            <w:r>
              <w:rPr>
                <w:rFonts w:hint="eastAsia" w:ascii="宋体" w:hAnsi="宋体"/>
                <w:color w:val="auto"/>
                <w:szCs w:val="21"/>
              </w:rPr>
              <w:t>及相关技术活动</w:t>
            </w:r>
            <w:r>
              <w:rPr>
                <w:rFonts w:hint="eastAsia"/>
                <w:color w:val="auto"/>
                <w:szCs w:val="22"/>
              </w:rPr>
              <w:t>过程的策划、计划的编制，对</w:t>
            </w:r>
            <w:r>
              <w:rPr>
                <w:rFonts w:hint="eastAsia"/>
                <w:color w:val="auto"/>
                <w:szCs w:val="22"/>
                <w:lang w:val="en-US" w:eastAsia="zh-CN"/>
              </w:rPr>
              <w:t>项目</w:t>
            </w:r>
            <w:r>
              <w:rPr>
                <w:rFonts w:hint="eastAsia"/>
                <w:color w:val="auto"/>
                <w:szCs w:val="22"/>
              </w:rPr>
              <w:t>实施</w:t>
            </w:r>
            <w:r>
              <w:rPr>
                <w:rFonts w:hint="eastAsia"/>
                <w:color w:val="auto"/>
                <w:szCs w:val="22"/>
                <w:lang w:val="en-US" w:eastAsia="zh-CN"/>
              </w:rPr>
              <w:t>管理</w:t>
            </w:r>
            <w:r>
              <w:rPr>
                <w:rFonts w:hint="eastAsia"/>
                <w:color w:val="auto"/>
                <w:szCs w:val="22"/>
              </w:rPr>
              <w:t>、监督、检查和验收，对不合格品进行有效控制并制定合理处置方案；</w:t>
            </w:r>
          </w:p>
          <w:p>
            <w:pPr>
              <w:rPr>
                <w:rFonts w:hint="eastAsia"/>
                <w:color w:val="auto"/>
                <w:szCs w:val="22"/>
              </w:rPr>
            </w:pPr>
            <w:r>
              <w:rPr>
                <w:rFonts w:hint="eastAsia"/>
                <w:color w:val="auto"/>
                <w:szCs w:val="22"/>
              </w:rPr>
              <w:t>3.负责对本部门环境因素、职业健康安全风险的识别和评价，并确定重要环境因素、职业健康安全风险；</w:t>
            </w:r>
          </w:p>
          <w:p>
            <w:pPr>
              <w:rPr>
                <w:rFonts w:hint="eastAsia"/>
                <w:color w:val="auto"/>
                <w:szCs w:val="22"/>
              </w:rPr>
            </w:pPr>
            <w:r>
              <w:rPr>
                <w:rFonts w:hint="eastAsia"/>
                <w:color w:val="auto"/>
                <w:szCs w:val="22"/>
              </w:rPr>
              <w:t>4.组织</w:t>
            </w:r>
            <w:r>
              <w:rPr>
                <w:color w:val="auto"/>
                <w:sz w:val="20"/>
              </w:rPr>
              <w:t>石油管道检测的技术推广服务</w:t>
            </w:r>
            <w:r>
              <w:rPr>
                <w:rFonts w:hint="eastAsia"/>
                <w:color w:val="auto"/>
                <w:szCs w:val="22"/>
                <w:lang w:val="en-US" w:eastAsia="zh-CN"/>
              </w:rPr>
              <w:t>操作</w:t>
            </w:r>
            <w:r>
              <w:rPr>
                <w:rFonts w:hint="eastAsia"/>
                <w:color w:val="auto"/>
                <w:szCs w:val="22"/>
              </w:rPr>
              <w:t>规程和工作标准及所需的质量记录，提出评价考核奖惩办法并组织实施；</w:t>
            </w:r>
          </w:p>
          <w:p>
            <w:pPr>
              <w:rPr>
                <w:rFonts w:hint="eastAsia"/>
                <w:color w:val="auto"/>
                <w:szCs w:val="22"/>
              </w:rPr>
            </w:pPr>
            <w:r>
              <w:rPr>
                <w:rFonts w:hint="eastAsia"/>
                <w:color w:val="auto"/>
                <w:szCs w:val="22"/>
              </w:rPr>
              <w:t>5.负责</w:t>
            </w:r>
            <w:r>
              <w:rPr>
                <w:color w:val="auto"/>
                <w:sz w:val="20"/>
              </w:rPr>
              <w:t>石油管道检测的技术推广服务</w:t>
            </w:r>
            <w:r>
              <w:rPr>
                <w:rFonts w:hint="eastAsia"/>
                <w:color w:val="auto"/>
                <w:szCs w:val="22"/>
              </w:rPr>
              <w:t>管理，做好文明规范服务，并对顾客财产负责；</w:t>
            </w:r>
          </w:p>
          <w:p>
            <w:pPr>
              <w:rPr>
                <w:rFonts w:hint="eastAsia"/>
                <w:color w:val="auto"/>
                <w:szCs w:val="22"/>
              </w:rPr>
            </w:pPr>
            <w:r>
              <w:rPr>
                <w:rFonts w:hint="eastAsia"/>
                <w:color w:val="auto"/>
                <w:szCs w:val="22"/>
              </w:rPr>
              <w:t>7.配合公司做好内部验收、内部审核工作的实施和不合格产品的纠正，预防措施的落实；</w:t>
            </w:r>
          </w:p>
          <w:p>
            <w:pPr>
              <w:rPr>
                <w:rFonts w:hint="eastAsia"/>
                <w:color w:val="auto"/>
                <w:szCs w:val="22"/>
              </w:rPr>
            </w:pPr>
            <w:r>
              <w:rPr>
                <w:rFonts w:hint="eastAsia"/>
                <w:color w:val="auto"/>
                <w:szCs w:val="22"/>
              </w:rPr>
              <w:t>8.收集、整理和保管本部门的质量记录、对相关的数据收集传递和交流。</w:t>
            </w:r>
          </w:p>
          <w:p>
            <w:pPr>
              <w:rPr>
                <w:rFonts w:hint="default" w:eastAsia="宋体"/>
                <w:color w:val="auto"/>
                <w:szCs w:val="22"/>
                <w:lang w:val="en-US" w:eastAsia="zh-CN"/>
              </w:rPr>
            </w:pPr>
            <w:r>
              <w:rPr>
                <w:rFonts w:hint="eastAsia"/>
                <w:color w:val="auto"/>
                <w:szCs w:val="22"/>
              </w:rPr>
              <w:t>以上</w:t>
            </w:r>
            <w:r>
              <w:rPr>
                <w:rFonts w:hint="eastAsia"/>
                <w:color w:val="auto"/>
                <w:szCs w:val="22"/>
                <w:lang w:val="en-US" w:eastAsia="zh-CN"/>
              </w:rPr>
              <w:t>职责远程询问部门经理，清楚其部门职责</w:t>
            </w:r>
          </w:p>
          <w:p>
            <w:pPr>
              <w:rPr>
                <w:rFonts w:hint="eastAsia"/>
                <w:color w:val="auto"/>
                <w:szCs w:val="22"/>
              </w:rPr>
            </w:pPr>
            <w:r>
              <w:rPr>
                <w:rFonts w:hint="eastAsia"/>
                <w:color w:val="auto"/>
                <w:szCs w:val="22"/>
              </w:rPr>
              <w:t>岗位职责在公司《岗位任职要求》中明确规定，通过文件下发和传达等方式在公司内部贯彻和沟通。</w:t>
            </w:r>
          </w:p>
          <w:p>
            <w:pPr>
              <w:rPr>
                <w:rFonts w:hint="eastAsia"/>
                <w:color w:val="auto"/>
                <w:szCs w:val="22"/>
              </w:rPr>
            </w:pPr>
            <w:r>
              <w:rPr>
                <w:rFonts w:hint="eastAsia"/>
                <w:color w:val="auto"/>
                <w:szCs w:val="22"/>
              </w:rPr>
              <w:t xml:space="preserve">查阅岗位职责文件对各岗位职责作了明确规定,查文件内容包括与岗位活动有关的质量、环境和职业健康安全职责要求。 </w:t>
            </w:r>
          </w:p>
          <w:p>
            <w:pPr>
              <w:spacing w:line="380" w:lineRule="exact"/>
              <w:ind w:firstLine="420" w:firstLineChars="200"/>
              <w:rPr>
                <w:rFonts w:ascii="宋体" w:hAnsi="宋体" w:cs="宋体"/>
                <w:color w:val="auto"/>
                <w:szCs w:val="21"/>
              </w:rPr>
            </w:pPr>
            <w:r>
              <w:rPr>
                <w:rFonts w:hint="eastAsia"/>
                <w:color w:val="auto"/>
                <w:szCs w:val="22"/>
              </w:rPr>
              <w:t>经现场询问负责人的回答与文件规定一致。</w:t>
            </w:r>
          </w:p>
        </w:tc>
        <w:tc>
          <w:tcPr>
            <w:tcW w:w="760" w:type="dxa"/>
          </w:tcPr>
          <w:p>
            <w:pPr>
              <w:spacing w:line="320" w:lineRule="exact"/>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707" w:type="dxa"/>
            <w:vAlign w:val="top"/>
          </w:tcPr>
          <w:p>
            <w:pPr>
              <w:rPr>
                <w:rFonts w:hint="eastAsia"/>
                <w:color w:val="auto"/>
                <w:szCs w:val="21"/>
              </w:rPr>
            </w:pPr>
            <w:r>
              <w:rPr>
                <w:rFonts w:hint="eastAsia"/>
                <w:color w:val="auto"/>
                <w:szCs w:val="21"/>
              </w:rPr>
              <w:t>环境因素、危险源识别</w:t>
            </w:r>
          </w:p>
        </w:tc>
        <w:tc>
          <w:tcPr>
            <w:tcW w:w="1070" w:type="dxa"/>
            <w:vAlign w:val="top"/>
          </w:tcPr>
          <w:p>
            <w:pPr>
              <w:rPr>
                <w:rFonts w:hint="eastAsia"/>
                <w:color w:val="auto"/>
                <w:szCs w:val="21"/>
              </w:rPr>
            </w:pPr>
            <w:r>
              <w:rPr>
                <w:rFonts w:hint="eastAsia"/>
                <w:color w:val="auto"/>
                <w:szCs w:val="21"/>
              </w:rPr>
              <w:t>ES6.1.2</w:t>
            </w:r>
          </w:p>
          <w:p>
            <w:pPr>
              <w:rPr>
                <w:rFonts w:ascii="宋体" w:hAnsi="宋体" w:cs="宋体"/>
                <w:color w:val="auto"/>
                <w:szCs w:val="21"/>
              </w:rPr>
            </w:pPr>
          </w:p>
        </w:tc>
        <w:tc>
          <w:tcPr>
            <w:tcW w:w="11172" w:type="dxa"/>
            <w:gridSpan w:val="2"/>
            <w:vAlign w:val="center"/>
          </w:tcPr>
          <w:p>
            <w:pPr>
              <w:spacing w:line="394" w:lineRule="exact"/>
              <w:ind w:firstLine="420" w:firstLineChars="200"/>
              <w:rPr>
                <w:rFonts w:hint="eastAsia"/>
                <w:color w:val="auto"/>
                <w:szCs w:val="21"/>
              </w:rPr>
            </w:pPr>
          </w:p>
          <w:p>
            <w:pPr>
              <w:spacing w:line="394" w:lineRule="exact"/>
              <w:ind w:firstLine="420" w:firstLineChars="200"/>
              <w:rPr>
                <w:rFonts w:hint="eastAsia"/>
                <w:color w:val="auto"/>
                <w:szCs w:val="21"/>
              </w:rPr>
            </w:pPr>
            <w:r>
              <w:rPr>
                <w:rFonts w:hint="eastAsia"/>
                <w:color w:val="auto"/>
                <w:szCs w:val="21"/>
              </w:rPr>
              <w:t>编制了</w:t>
            </w:r>
            <w:r>
              <w:rPr>
                <w:color w:val="auto"/>
                <w:szCs w:val="21"/>
              </w:rPr>
              <w:t>《环境因素的识别与评价控制程序》《危险源辩识、风险评价和风险控制策划程序》</w:t>
            </w:r>
            <w:r>
              <w:rPr>
                <w:rFonts w:hint="eastAsia"/>
                <w:color w:val="auto"/>
                <w:szCs w:val="21"/>
              </w:rPr>
              <w:t>符合标准要求.</w:t>
            </w:r>
          </w:p>
          <w:p>
            <w:pPr>
              <w:ind w:firstLine="420" w:firstLineChars="200"/>
              <w:rPr>
                <w:color w:val="auto"/>
                <w:szCs w:val="21"/>
              </w:rPr>
            </w:pPr>
            <w:r>
              <w:rPr>
                <w:rFonts w:hint="eastAsia"/>
                <w:color w:val="auto"/>
                <w:szCs w:val="21"/>
              </w:rPr>
              <w:t>提供的“环境因素识别评价表”“重要环境因素清单”， 评价考虑了三种时态现在、过去、将来、三种状态、异常、正常、紧急考虑了法律法规，并进行了评价，识别</w:t>
            </w:r>
            <w:r>
              <w:rPr>
                <w:rFonts w:hint="eastAsia"/>
                <w:color w:val="auto"/>
                <w:sz w:val="20"/>
                <w:lang w:eastAsia="zh-CN"/>
              </w:rPr>
              <w:t>技术</w:t>
            </w:r>
            <w:r>
              <w:rPr>
                <w:rFonts w:hint="eastAsia"/>
                <w:color w:val="auto"/>
                <w:sz w:val="20"/>
              </w:rPr>
              <w:t>管理</w:t>
            </w:r>
            <w:r>
              <w:rPr>
                <w:rFonts w:hint="eastAsia"/>
                <w:color w:val="auto"/>
                <w:szCs w:val="21"/>
              </w:rPr>
              <w:t>过程，用打分法考虑了法规符合性、发生频次、影响范围等, 通过定性判断法，共识别出重大环境因素</w:t>
            </w:r>
            <w:r>
              <w:rPr>
                <w:color w:val="auto"/>
                <w:szCs w:val="21"/>
              </w:rPr>
              <w:t>2</w:t>
            </w:r>
            <w:r>
              <w:rPr>
                <w:rFonts w:hint="eastAsia"/>
                <w:color w:val="auto"/>
                <w:szCs w:val="21"/>
              </w:rPr>
              <w:t>项：固废排放、火灾，评价符合程序要求及公司的实际情况。</w:t>
            </w:r>
          </w:p>
          <w:p>
            <w:pPr>
              <w:ind w:firstLine="420" w:firstLineChars="200"/>
              <w:rPr>
                <w:rFonts w:hint="eastAsia"/>
                <w:color w:val="auto"/>
                <w:szCs w:val="21"/>
              </w:rPr>
            </w:pPr>
            <w:r>
              <w:rPr>
                <w:rFonts w:hint="eastAsia"/>
                <w:color w:val="auto"/>
                <w:szCs w:val="21"/>
              </w:rPr>
              <w:t>提供《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ind w:firstLine="420" w:firstLineChars="200"/>
              <w:rPr>
                <w:color w:val="auto"/>
                <w:szCs w:val="21"/>
              </w:rPr>
            </w:pPr>
            <w:r>
              <w:rPr>
                <w:rFonts w:hint="eastAsia"/>
                <w:color w:val="auto"/>
                <w:szCs w:val="21"/>
              </w:rPr>
              <w:t>提供的：“危险源识别与风险评价表”“不可接受风险源清单”， 评价考虑了将来、状态、可能导致的事件，并进行了评价，用打分法考虑了法规符合性、发生频次、影响范围等, 通过是非法，共识别出不可接受风险3项，涉及：火灾和触电、意外伤害。评价符合程序要求及公司的实际情况。对危险源的控制措施包括制定管理制度、监督检查、应急预案、培训等。</w:t>
            </w:r>
          </w:p>
          <w:p>
            <w:pPr>
              <w:pStyle w:val="10"/>
              <w:rPr>
                <w:rFonts w:hint="eastAsia"/>
                <w:bCs w:val="0"/>
                <w:color w:val="auto"/>
                <w:szCs w:val="21"/>
              </w:rPr>
            </w:pPr>
          </w:p>
          <w:p>
            <w:pPr>
              <w:spacing w:line="380" w:lineRule="exact"/>
              <w:ind w:firstLine="420" w:firstLineChars="200"/>
              <w:rPr>
                <w:rFonts w:hint="eastAsia"/>
                <w:color w:val="auto"/>
                <w:szCs w:val="22"/>
              </w:rPr>
            </w:pPr>
          </w:p>
        </w:tc>
        <w:tc>
          <w:tcPr>
            <w:tcW w:w="760" w:type="dxa"/>
          </w:tcPr>
          <w:p>
            <w:pPr>
              <w:spacing w:line="320" w:lineRule="exact"/>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707" w:type="dxa"/>
            <w:vAlign w:val="top"/>
          </w:tcPr>
          <w:p>
            <w:pPr>
              <w:rPr>
                <w:rFonts w:ascii="宋体" w:hAnsi="宋体" w:cs="宋体"/>
                <w:color w:val="auto"/>
                <w:szCs w:val="21"/>
              </w:rPr>
            </w:pPr>
            <w:r>
              <w:rPr>
                <w:rFonts w:hint="eastAsia"/>
                <w:color w:val="auto"/>
                <w:szCs w:val="21"/>
              </w:rPr>
              <w:t>目标和方案</w:t>
            </w:r>
          </w:p>
        </w:tc>
        <w:tc>
          <w:tcPr>
            <w:tcW w:w="1070" w:type="dxa"/>
            <w:vAlign w:val="top"/>
          </w:tcPr>
          <w:p>
            <w:pPr>
              <w:rPr>
                <w:rFonts w:hint="eastAsia"/>
                <w:color w:val="auto"/>
                <w:szCs w:val="21"/>
              </w:rPr>
            </w:pPr>
            <w:r>
              <w:rPr>
                <w:rFonts w:hint="eastAsia"/>
                <w:color w:val="auto"/>
                <w:szCs w:val="21"/>
              </w:rPr>
              <w:t>QES</w:t>
            </w:r>
          </w:p>
          <w:p>
            <w:pPr>
              <w:rPr>
                <w:rFonts w:hint="eastAsia"/>
                <w:color w:val="auto"/>
                <w:szCs w:val="21"/>
              </w:rPr>
            </w:pPr>
            <w:r>
              <w:rPr>
                <w:rFonts w:hint="eastAsia"/>
                <w:color w:val="auto"/>
                <w:szCs w:val="21"/>
              </w:rPr>
              <w:t>6.2</w:t>
            </w:r>
          </w:p>
          <w:p>
            <w:pPr>
              <w:rPr>
                <w:rFonts w:hint="eastAsia"/>
                <w:color w:val="auto"/>
                <w:szCs w:val="21"/>
              </w:rPr>
            </w:pPr>
          </w:p>
          <w:p>
            <w:pPr>
              <w:rPr>
                <w:rFonts w:ascii="宋体" w:hAnsi="宋体" w:cs="宋体"/>
                <w:color w:val="auto"/>
                <w:szCs w:val="21"/>
              </w:rPr>
            </w:pPr>
          </w:p>
        </w:tc>
        <w:tc>
          <w:tcPr>
            <w:tcW w:w="11172" w:type="dxa"/>
            <w:gridSpan w:val="2"/>
            <w:vAlign w:val="center"/>
          </w:tcPr>
          <w:p>
            <w:pPr>
              <w:spacing w:line="380" w:lineRule="exact"/>
              <w:ind w:firstLine="420" w:firstLineChars="200"/>
              <w:rPr>
                <w:rFonts w:ascii="宋体" w:hAnsi="宋体" w:cs="宋体"/>
                <w:color w:val="auto"/>
                <w:szCs w:val="21"/>
              </w:rPr>
            </w:pPr>
            <w:r>
              <w:rPr>
                <w:rFonts w:hint="eastAsia" w:ascii="宋体" w:hAnsi="宋体" w:cs="宋体"/>
                <w:color w:val="auto"/>
                <w:szCs w:val="21"/>
              </w:rPr>
              <w:t>提供《目标分解表》，主要目标有:</w:t>
            </w:r>
          </w:p>
          <w:p>
            <w:pPr>
              <w:pStyle w:val="10"/>
              <w:rPr>
                <w:rFonts w:hint="eastAsia"/>
                <w:color w:val="auto"/>
              </w:rPr>
            </w:pPr>
            <w:r>
              <w:rPr>
                <w:color w:val="auto"/>
              </w:rPr>
              <w:t xml:space="preserve">         </w:t>
            </w:r>
            <w:r>
              <w:rPr>
                <w:rFonts w:hint="eastAsia"/>
                <w:color w:val="auto"/>
              </w:rPr>
              <w:t xml:space="preserve">目标 </w:t>
            </w:r>
            <w:r>
              <w:rPr>
                <w:color w:val="auto"/>
              </w:rPr>
              <w:t xml:space="preserve">                         </w:t>
            </w:r>
          </w:p>
          <w:p>
            <w:pPr>
              <w:rPr>
                <w:rFonts w:hint="eastAsia"/>
                <w:color w:val="auto"/>
              </w:rPr>
            </w:pPr>
            <w:r>
              <w:rPr>
                <w:rFonts w:hint="eastAsia"/>
                <w:color w:val="auto"/>
              </w:rPr>
              <w:t>技术推广服务合格率100%</w:t>
            </w:r>
          </w:p>
          <w:p>
            <w:pPr>
              <w:rPr>
                <w:rFonts w:hint="eastAsia"/>
                <w:color w:val="auto"/>
              </w:rPr>
            </w:pPr>
            <w:r>
              <w:rPr>
                <w:rFonts w:hint="eastAsia"/>
                <w:color w:val="auto"/>
              </w:rPr>
              <w:t>产品交付及时率100%</w:t>
            </w:r>
          </w:p>
          <w:p>
            <w:pPr>
              <w:rPr>
                <w:rFonts w:hint="eastAsia"/>
                <w:color w:val="auto"/>
              </w:rPr>
            </w:pPr>
            <w:r>
              <w:rPr>
                <w:rFonts w:hint="eastAsia"/>
                <w:color w:val="auto"/>
              </w:rPr>
              <w:t>服务质量合格率100%</w:t>
            </w:r>
          </w:p>
          <w:p>
            <w:pPr>
              <w:rPr>
                <w:rFonts w:hint="eastAsia"/>
                <w:color w:val="auto"/>
              </w:rPr>
            </w:pPr>
            <w:r>
              <w:rPr>
                <w:rFonts w:hint="eastAsia"/>
                <w:color w:val="auto"/>
              </w:rPr>
              <w:t>服务按时完成率100%</w:t>
            </w:r>
          </w:p>
          <w:p>
            <w:pPr>
              <w:rPr>
                <w:rFonts w:hint="eastAsia"/>
                <w:color w:val="auto"/>
              </w:rPr>
            </w:pPr>
            <w:r>
              <w:rPr>
                <w:rFonts w:hint="eastAsia"/>
                <w:color w:val="auto"/>
              </w:rPr>
              <w:t>灭火器配置率100％</w:t>
            </w:r>
          </w:p>
          <w:p>
            <w:pPr>
              <w:rPr>
                <w:rFonts w:hint="eastAsia"/>
                <w:color w:val="auto"/>
              </w:rPr>
            </w:pPr>
            <w:r>
              <w:rPr>
                <w:rFonts w:hint="eastAsia"/>
                <w:color w:val="auto"/>
              </w:rPr>
              <w:t>固废100％分类进行处理</w:t>
            </w:r>
          </w:p>
          <w:p>
            <w:pPr>
              <w:rPr>
                <w:rFonts w:hint="eastAsia"/>
                <w:color w:val="auto"/>
              </w:rPr>
            </w:pPr>
            <w:r>
              <w:rPr>
                <w:rFonts w:hint="eastAsia"/>
                <w:color w:val="auto"/>
              </w:rPr>
              <w:t>无重大环境投诉</w:t>
            </w:r>
          </w:p>
          <w:p>
            <w:pPr>
              <w:rPr>
                <w:rFonts w:hint="eastAsia"/>
                <w:color w:val="auto"/>
              </w:rPr>
            </w:pPr>
            <w:r>
              <w:rPr>
                <w:rFonts w:hint="eastAsia"/>
                <w:color w:val="auto"/>
              </w:rPr>
              <w:t>火灾事故发生率为0。</w:t>
            </w:r>
          </w:p>
          <w:p>
            <w:pPr>
              <w:rPr>
                <w:color w:val="auto"/>
              </w:rPr>
            </w:pPr>
            <w:r>
              <w:rPr>
                <w:rFonts w:hint="eastAsia"/>
                <w:color w:val="auto"/>
              </w:rPr>
              <w:t xml:space="preserve">各类重伤以上事故发生率为零； </w:t>
            </w:r>
            <w:r>
              <w:rPr>
                <w:rFonts w:hint="eastAsia"/>
                <w:color w:val="auto"/>
                <w:spacing w:val="0"/>
                <w:sz w:val="24"/>
                <w:szCs w:val="22"/>
              </w:rPr>
              <w:t xml:space="preserve">                  </w:t>
            </w:r>
          </w:p>
          <w:p>
            <w:pPr>
              <w:ind w:left="210" w:leftChars="100" w:firstLine="210" w:firstLineChars="100"/>
              <w:rPr>
                <w:rFonts w:hint="default" w:eastAsia="宋体"/>
                <w:color w:val="auto"/>
                <w:lang w:val="en-US" w:eastAsia="zh-CN"/>
              </w:rPr>
            </w:pPr>
            <w:r>
              <w:rPr>
                <w:rFonts w:hint="eastAsia"/>
                <w:color w:val="auto"/>
              </w:rPr>
              <w:t>提供2020年1-10月目标完成情况统计</w:t>
            </w:r>
            <w:r>
              <w:rPr>
                <w:rFonts w:hint="eastAsia"/>
                <w:color w:val="auto"/>
                <w:lang w:eastAsia="zh-CN"/>
              </w:rPr>
              <w:t>，</w:t>
            </w:r>
            <w:r>
              <w:rPr>
                <w:rFonts w:hint="eastAsia"/>
                <w:color w:val="auto"/>
                <w:lang w:val="en-US" w:eastAsia="zh-CN"/>
              </w:rPr>
              <w:t>目标均完成，考核人：</w:t>
            </w:r>
            <w:r>
              <w:rPr>
                <w:rFonts w:hint="eastAsia"/>
                <w:color w:val="auto"/>
              </w:rPr>
              <w:t>杨云博</w:t>
            </w:r>
          </w:p>
          <w:p>
            <w:pPr>
              <w:spacing w:line="380" w:lineRule="exact"/>
              <w:ind w:firstLine="420" w:firstLineChars="200"/>
              <w:rPr>
                <w:rFonts w:hint="default" w:ascii="宋体" w:hAnsi="宋体" w:eastAsia="宋体" w:cs="宋体"/>
                <w:color w:val="auto"/>
                <w:szCs w:val="21"/>
                <w:lang w:val="en-US" w:eastAsia="zh-CN"/>
              </w:rPr>
            </w:pPr>
            <w:r>
              <w:rPr>
                <w:rFonts w:hint="eastAsia" w:ascii="宋体" w:hAnsi="宋体" w:cs="宋体"/>
                <w:color w:val="auto"/>
                <w:szCs w:val="21"/>
                <w:lang w:val="en-US" w:eastAsia="zh-CN"/>
              </w:rPr>
              <w:t>提供有管理方案，方案可行</w:t>
            </w:r>
          </w:p>
        </w:tc>
        <w:tc>
          <w:tcPr>
            <w:tcW w:w="760" w:type="dxa"/>
          </w:tcPr>
          <w:p>
            <w:pPr>
              <w:spacing w:line="320" w:lineRule="exact"/>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3" w:hRule="atLeast"/>
        </w:trPr>
        <w:tc>
          <w:tcPr>
            <w:tcW w:w="1707" w:type="dxa"/>
            <w:vAlign w:val="top"/>
          </w:tcPr>
          <w:p>
            <w:pPr>
              <w:rPr>
                <w:rFonts w:hint="eastAsia" w:cs="Lucida Sans"/>
                <w:b/>
                <w:color w:val="auto"/>
              </w:rPr>
            </w:pPr>
          </w:p>
          <w:p>
            <w:pPr>
              <w:rPr>
                <w:rFonts w:hint="eastAsia" w:cs="Lucida Sans"/>
                <w:b/>
                <w:color w:val="auto"/>
              </w:rPr>
            </w:pPr>
          </w:p>
          <w:p>
            <w:pPr>
              <w:rPr>
                <w:rFonts w:hint="eastAsia" w:cs="Lucida Sans"/>
                <w:b/>
                <w:color w:val="auto"/>
              </w:rPr>
            </w:pPr>
          </w:p>
          <w:p>
            <w:pPr>
              <w:rPr>
                <w:rFonts w:hint="eastAsia" w:eastAsia="宋体" w:cs="Lucida Sans"/>
                <w:b/>
                <w:color w:val="auto"/>
                <w:lang w:val="en-US" w:eastAsia="zh-CN"/>
              </w:rPr>
            </w:pPr>
          </w:p>
          <w:p>
            <w:pPr>
              <w:rPr>
                <w:rFonts w:hint="eastAsia" w:cs="Lucida Sans"/>
                <w:b/>
                <w:color w:val="auto"/>
              </w:rPr>
            </w:pPr>
          </w:p>
          <w:p>
            <w:pPr>
              <w:rPr>
                <w:rFonts w:hint="eastAsia" w:cs="Lucida Sans"/>
                <w:b/>
                <w:color w:val="auto"/>
              </w:rPr>
            </w:pPr>
          </w:p>
          <w:p>
            <w:pPr>
              <w:rPr>
                <w:rFonts w:hint="eastAsia" w:cs="Lucida Sans"/>
                <w:b/>
                <w:color w:val="auto"/>
              </w:rPr>
            </w:pPr>
          </w:p>
          <w:p>
            <w:pPr>
              <w:rPr>
                <w:rFonts w:ascii="宋体" w:hAnsi="宋体" w:cs="宋体"/>
                <w:color w:val="auto"/>
                <w:kern w:val="0"/>
                <w:szCs w:val="21"/>
              </w:rPr>
            </w:pPr>
            <w:r>
              <w:rPr>
                <w:rFonts w:hint="eastAsia" w:cs="Lucida Sans"/>
                <w:b/>
                <w:color w:val="auto"/>
              </w:rPr>
              <w:t>基础设施</w:t>
            </w:r>
          </w:p>
        </w:tc>
        <w:tc>
          <w:tcPr>
            <w:tcW w:w="1070" w:type="dxa"/>
            <w:vAlign w:val="center"/>
          </w:tcPr>
          <w:p>
            <w:pPr>
              <w:rPr>
                <w:rFonts w:ascii="宋体" w:hAnsi="宋体" w:cs="宋体"/>
                <w:color w:val="auto"/>
                <w:szCs w:val="21"/>
              </w:rPr>
            </w:pPr>
            <w:r>
              <w:rPr>
                <w:rFonts w:hint="eastAsia" w:cs="Lucida Sans"/>
                <w:b/>
                <w:color w:val="auto"/>
              </w:rPr>
              <w:t>Q</w:t>
            </w:r>
            <w:r>
              <w:rPr>
                <w:rFonts w:cs="Lucida Sans"/>
                <w:b/>
                <w:color w:val="auto"/>
              </w:rPr>
              <w:t>7.1.3</w:t>
            </w:r>
          </w:p>
        </w:tc>
        <w:tc>
          <w:tcPr>
            <w:tcW w:w="11172" w:type="dxa"/>
            <w:gridSpan w:val="2"/>
            <w:vAlign w:val="center"/>
          </w:tcPr>
          <w:p>
            <w:pPr>
              <w:rPr>
                <w:rFonts w:cs="Lucida Sans"/>
                <w:b w:val="0"/>
                <w:bCs/>
                <w:color w:val="auto"/>
              </w:rPr>
            </w:pPr>
            <w:r>
              <w:rPr>
                <w:rFonts w:cs="Lucida Sans"/>
                <w:b w:val="0"/>
                <w:bCs/>
                <w:color w:val="auto"/>
              </w:rPr>
              <w:t>7.1.3基础设施</w:t>
            </w:r>
          </w:p>
          <w:p>
            <w:pPr>
              <w:rPr>
                <w:rFonts w:hint="eastAsia" w:ascii="宋体" w:hAnsi="宋体"/>
                <w:color w:val="auto"/>
                <w:spacing w:val="-10"/>
                <w:szCs w:val="21"/>
                <w:lang w:val="en-US" w:eastAsia="zh-CN"/>
              </w:rPr>
            </w:pPr>
            <w:r>
              <w:rPr>
                <w:rStyle w:val="17"/>
                <w:rFonts w:hint="eastAsia" w:ascii="Arial" w:hAnsi="Arial" w:cs="Arial"/>
                <w:b w:val="0"/>
                <w:bCs/>
                <w:color w:val="auto"/>
                <w:shd w:val="clear" w:color="auto" w:fill="FFFFFF"/>
                <w:lang w:eastAsia="zh-CN"/>
              </w:rPr>
              <w:t>技术</w:t>
            </w:r>
            <w:r>
              <w:rPr>
                <w:rStyle w:val="17"/>
                <w:rFonts w:hint="eastAsia" w:ascii="Arial" w:hAnsi="Arial" w:cs="Arial"/>
                <w:b w:val="0"/>
                <w:bCs/>
                <w:color w:val="auto"/>
                <w:shd w:val="clear" w:color="auto" w:fill="FFFFFF"/>
                <w:lang w:val="en-US" w:eastAsia="zh-CN"/>
              </w:rPr>
              <w:t>服务</w:t>
            </w:r>
            <w:r>
              <w:rPr>
                <w:rStyle w:val="17"/>
                <w:rFonts w:hint="eastAsia" w:ascii="Arial" w:hAnsi="Arial" w:cs="Arial"/>
                <w:b w:val="0"/>
                <w:bCs/>
                <w:color w:val="auto"/>
                <w:shd w:val="clear" w:color="auto" w:fill="FFFFFF"/>
              </w:rPr>
              <w:t>设备：</w:t>
            </w:r>
            <w:r>
              <w:rPr>
                <w:rFonts w:hint="eastAsia" w:ascii="宋体" w:hAnsi="宋体"/>
                <w:color w:val="auto"/>
                <w:spacing w:val="-10"/>
                <w:szCs w:val="21"/>
              </w:rPr>
              <w:t>电脑、打印机、复印件、传真件、扫描仪</w:t>
            </w:r>
            <w:r>
              <w:rPr>
                <w:rFonts w:hint="eastAsia" w:ascii="宋体" w:hAnsi="宋体"/>
                <w:color w:val="auto"/>
                <w:spacing w:val="-10"/>
                <w:szCs w:val="21"/>
                <w:lang w:val="en-US" w:eastAsia="zh-CN"/>
              </w:rPr>
              <w:t xml:space="preserve">  HP PC</w:t>
            </w:r>
            <w:r>
              <w:rPr>
                <w:rFonts w:hint="eastAsia" w:ascii="宋体" w:hAnsi="宋体"/>
                <w:color w:val="auto"/>
                <w:spacing w:val="-10"/>
                <w:szCs w:val="21"/>
                <w:lang w:val="en-US" w:eastAsia="zh-CN"/>
              </w:rPr>
              <w:tab/>
            </w:r>
            <w:r>
              <w:rPr>
                <w:rFonts w:hint="eastAsia" w:ascii="宋体" w:hAnsi="宋体"/>
                <w:color w:val="auto"/>
                <w:spacing w:val="-10"/>
                <w:szCs w:val="21"/>
                <w:lang w:val="en-US" w:eastAsia="zh-CN"/>
              </w:rPr>
              <w:t>Pavilion 550-259cn</w:t>
            </w:r>
            <w:r>
              <w:rPr>
                <w:rFonts w:hint="eastAsia" w:ascii="宋体" w:hAnsi="宋体"/>
                <w:color w:val="auto"/>
                <w:spacing w:val="-10"/>
                <w:szCs w:val="21"/>
                <w:lang w:val="en-US" w:eastAsia="zh-CN"/>
              </w:rPr>
              <w:tab/>
            </w:r>
          </w:p>
          <w:p>
            <w:pPr>
              <w:rPr>
                <w:rStyle w:val="17"/>
                <w:rFonts w:ascii="Arial" w:hAnsi="Arial" w:cs="Arial"/>
                <w:b w:val="0"/>
                <w:bCs/>
                <w:color w:val="auto"/>
                <w:shd w:val="clear" w:color="auto" w:fill="FFFFFF"/>
              </w:rPr>
            </w:pPr>
            <w:r>
              <w:rPr>
                <w:rFonts w:hint="eastAsia" w:ascii="宋体" w:hAnsi="宋体"/>
                <w:color w:val="auto"/>
                <w:spacing w:val="-10"/>
                <w:szCs w:val="21"/>
                <w:lang w:val="en-US" w:eastAsia="zh-CN"/>
              </w:rPr>
              <w:t>火狐浏览器、</w:t>
            </w:r>
            <w:r>
              <w:rPr>
                <w:rFonts w:hint="eastAsia" w:ascii="宋体" w:hAnsi="宋体"/>
                <w:color w:val="auto"/>
                <w:spacing w:val="-10"/>
                <w:szCs w:val="21"/>
                <w:lang w:val="en-US" w:eastAsia="zh-CN"/>
              </w:rPr>
              <w:tab/>
            </w:r>
            <w:r>
              <w:rPr>
                <w:rFonts w:hint="eastAsia" w:ascii="宋体" w:hAnsi="宋体"/>
                <w:color w:val="auto"/>
                <w:spacing w:val="-10"/>
                <w:szCs w:val="21"/>
                <w:lang w:val="en-US" w:eastAsia="zh-CN"/>
              </w:rPr>
              <w:t>Unity webplayer</w:t>
            </w:r>
            <w:r>
              <w:rPr>
                <w:rFonts w:hint="eastAsia" w:ascii="宋体" w:hAnsi="宋体"/>
                <w:color w:val="auto"/>
                <w:spacing w:val="-10"/>
                <w:szCs w:val="21"/>
                <w:lang w:val="en-US" w:eastAsia="zh-CN"/>
              </w:rPr>
              <w:tab/>
            </w:r>
            <w:r>
              <w:rPr>
                <w:rFonts w:hint="eastAsia" w:ascii="宋体" w:hAnsi="宋体"/>
                <w:color w:val="auto"/>
                <w:spacing w:val="-10"/>
                <w:szCs w:val="21"/>
                <w:lang w:val="en-US" w:eastAsia="zh-CN"/>
              </w:rPr>
              <w:t xml:space="preserve">5.0.1、Lenovo </w:t>
            </w:r>
            <w:r>
              <w:rPr>
                <w:rFonts w:hint="eastAsia" w:ascii="宋体" w:hAnsi="宋体"/>
                <w:color w:val="auto"/>
                <w:spacing w:val="-10"/>
                <w:szCs w:val="21"/>
                <w:lang w:val="en-US" w:eastAsia="zh-CN"/>
              </w:rPr>
              <w:tab/>
            </w:r>
            <w:r>
              <w:rPr>
                <w:rFonts w:hint="eastAsia" w:ascii="宋体" w:hAnsi="宋体"/>
                <w:color w:val="auto"/>
                <w:spacing w:val="-10"/>
                <w:szCs w:val="21"/>
                <w:lang w:val="en-US" w:eastAsia="zh-CN"/>
              </w:rPr>
              <w:t>Z460</w:t>
            </w:r>
            <w:r>
              <w:rPr>
                <w:rFonts w:hint="eastAsia" w:ascii="宋体" w:hAnsi="宋体"/>
                <w:color w:val="auto"/>
                <w:spacing w:val="-10"/>
                <w:szCs w:val="21"/>
                <w:lang w:val="en-US" w:eastAsia="zh-CN"/>
              </w:rPr>
              <w:tab/>
            </w:r>
            <w:r>
              <w:rPr>
                <w:rFonts w:hint="eastAsia" w:ascii="宋体" w:hAnsi="宋体"/>
                <w:color w:val="auto"/>
                <w:spacing w:val="-10"/>
                <w:szCs w:val="21"/>
              </w:rPr>
              <w:t>等</w:t>
            </w:r>
          </w:p>
          <w:p>
            <w:pPr>
              <w:pStyle w:val="10"/>
              <w:rPr>
                <w:rStyle w:val="17"/>
                <w:rFonts w:ascii="Arial" w:hAnsi="Arial" w:cs="Arial"/>
                <w:b w:val="0"/>
                <w:bCs/>
                <w:color w:val="auto"/>
                <w:spacing w:val="0"/>
                <w:shd w:val="clear" w:color="auto" w:fill="FFFFFF"/>
              </w:rPr>
            </w:pPr>
            <w:r>
              <w:rPr>
                <w:rStyle w:val="17"/>
                <w:rFonts w:hint="eastAsia" w:ascii="Arial" w:hAnsi="Arial" w:cs="Arial"/>
                <w:b w:val="0"/>
                <w:bCs/>
                <w:color w:val="auto"/>
                <w:spacing w:val="0"/>
                <w:shd w:val="clear" w:color="auto" w:fill="FFFFFF"/>
              </w:rPr>
              <w:t>环保设备：垃圾桶、灭火器</w:t>
            </w:r>
          </w:p>
          <w:p>
            <w:pPr>
              <w:pStyle w:val="10"/>
              <w:rPr>
                <w:rStyle w:val="17"/>
                <w:rFonts w:ascii="Arial" w:hAnsi="Arial" w:cs="Arial"/>
                <w:b w:val="0"/>
                <w:bCs/>
                <w:color w:val="auto"/>
                <w:spacing w:val="0"/>
                <w:shd w:val="clear" w:color="auto" w:fill="FFFFFF"/>
              </w:rPr>
            </w:pPr>
            <w:r>
              <w:rPr>
                <w:rStyle w:val="17"/>
                <w:rFonts w:hint="eastAsia" w:ascii="Arial" w:hAnsi="Arial" w:cs="Arial"/>
                <w:b w:val="0"/>
                <w:bCs/>
                <w:color w:val="auto"/>
                <w:spacing w:val="0"/>
                <w:shd w:val="clear" w:color="auto" w:fill="FFFFFF"/>
              </w:rPr>
              <w:t>消防设施：消防栓、灭火器、应急灯等</w:t>
            </w:r>
          </w:p>
          <w:p>
            <w:pPr>
              <w:rPr>
                <w:rFonts w:cs="Lucida Sans"/>
                <w:b w:val="0"/>
                <w:bCs/>
                <w:color w:val="auto"/>
              </w:rPr>
            </w:pPr>
            <w:r>
              <w:rPr>
                <w:rFonts w:hint="eastAsia" w:cs="Lucida Sans"/>
                <w:b w:val="0"/>
                <w:bCs/>
                <w:color w:val="auto"/>
              </w:rPr>
              <w:t>定期维护与保养。公司根据办公的需要，配备了办公用房及通讯、信息系统等基础设施</w:t>
            </w:r>
            <w:r>
              <w:rPr>
                <w:rFonts w:cs="Lucida Sans"/>
                <w:b w:val="0"/>
                <w:bCs/>
                <w:color w:val="auto"/>
              </w:rPr>
              <w:t>。公司编制了《</w:t>
            </w:r>
            <w:r>
              <w:rPr>
                <w:rFonts w:hint="eastAsia" w:ascii="宋体" w:hAnsi="宋体" w:cs="宋体"/>
                <w:b w:val="0"/>
                <w:bCs/>
                <w:color w:val="auto"/>
                <w:sz w:val="24"/>
              </w:rPr>
              <w:t>基础设施控制程序</w:t>
            </w:r>
            <w:r>
              <w:rPr>
                <w:rFonts w:cs="Lucida Sans"/>
                <w:b w:val="0"/>
                <w:bCs/>
                <w:color w:val="auto"/>
              </w:rPr>
              <w:t>》 并配备有办</w:t>
            </w:r>
            <w:r>
              <w:rPr>
                <w:rFonts w:hint="eastAsia" w:cs="Lucida Sans"/>
                <w:b w:val="0"/>
                <w:bCs/>
                <w:color w:val="auto"/>
              </w:rPr>
              <w:t>公桌椅，水电、空调、会议室、消防设施设备，并有电脑、打印机、电话、传真机、复印机等办公设备；满足办公需要。</w:t>
            </w:r>
          </w:p>
          <w:p>
            <w:pPr>
              <w:ind w:firstLine="420" w:firstLineChars="200"/>
              <w:rPr>
                <w:rFonts w:cs="Lucida Sans"/>
                <w:b w:val="0"/>
                <w:bCs/>
                <w:color w:val="auto"/>
              </w:rPr>
            </w:pPr>
            <w:r>
              <w:rPr>
                <w:rFonts w:hint="eastAsia" w:cs="Lucida Sans"/>
                <w:b w:val="0"/>
                <w:bCs/>
                <w:color w:val="auto"/>
              </w:rPr>
              <w:t>抽：《设备维修保养计划》</w:t>
            </w:r>
          </w:p>
          <w:p>
            <w:pPr>
              <w:ind w:firstLine="420" w:firstLineChars="200"/>
              <w:rPr>
                <w:rFonts w:cs="Lucida Sans"/>
                <w:b w:val="0"/>
                <w:bCs/>
                <w:color w:val="auto"/>
              </w:rPr>
            </w:pPr>
            <w:r>
              <w:rPr>
                <w:rFonts w:hint="eastAsia" w:cs="Lucida Sans"/>
                <w:b w:val="0"/>
                <w:bCs/>
                <w:color w:val="auto"/>
              </w:rPr>
              <w:t>依照计划进行设备设施的升级、维护、更换、配备，相关设施配备和管理比较完善。提供电脑打印机设备清单及维修保养记录。保养人：</w:t>
            </w:r>
            <w:r>
              <w:rPr>
                <w:rFonts w:hint="eastAsia"/>
                <w:color w:val="auto"/>
              </w:rPr>
              <w:t>杨云博</w:t>
            </w:r>
            <w:r>
              <w:rPr>
                <w:rFonts w:hint="eastAsia"/>
                <w:b w:val="0"/>
                <w:bCs/>
                <w:color w:val="auto"/>
                <w:lang w:eastAsia="zh-CN"/>
              </w:rPr>
              <w:t xml:space="preserve"> </w:t>
            </w:r>
            <w:r>
              <w:rPr>
                <w:rFonts w:hint="eastAsia" w:cs="Lucida Sans"/>
                <w:b w:val="0"/>
                <w:bCs/>
                <w:color w:val="auto"/>
              </w:rPr>
              <w:t>。</w:t>
            </w:r>
          </w:p>
          <w:p>
            <w:pPr>
              <w:pStyle w:val="10"/>
              <w:rPr>
                <w:rStyle w:val="17"/>
                <w:rFonts w:hint="eastAsia" w:ascii="Arial" w:hAnsi="Arial" w:cs="Arial"/>
                <w:b w:val="0"/>
                <w:bCs/>
                <w:color w:val="auto"/>
                <w:spacing w:val="0"/>
                <w:shd w:val="clear" w:color="auto" w:fill="FFFFFF"/>
              </w:rPr>
            </w:pPr>
            <w:r>
              <w:rPr>
                <w:rStyle w:val="17"/>
                <w:rFonts w:hint="eastAsia" w:ascii="Arial" w:hAnsi="Arial" w:cs="Arial"/>
                <w:b w:val="0"/>
                <w:bCs/>
                <w:color w:val="auto"/>
                <w:spacing w:val="0"/>
                <w:shd w:val="clear" w:color="auto" w:fill="FFFFFF"/>
              </w:rPr>
              <w:t>。</w:t>
            </w:r>
          </w:p>
          <w:p>
            <w:pPr>
              <w:pStyle w:val="10"/>
              <w:rPr>
                <w:color w:val="auto"/>
              </w:rPr>
            </w:pPr>
          </w:p>
        </w:tc>
        <w:tc>
          <w:tcPr>
            <w:tcW w:w="760" w:type="dxa"/>
          </w:tcPr>
          <w:p>
            <w:pPr>
              <w:spacing w:line="320" w:lineRule="exact"/>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707" w:type="dxa"/>
          </w:tcPr>
          <w:p>
            <w:pPr>
              <w:spacing w:line="380" w:lineRule="exact"/>
              <w:rPr>
                <w:rFonts w:ascii="宋体" w:hAnsi="宋体" w:cs="宋体"/>
                <w:bCs/>
                <w:color w:val="auto"/>
                <w:szCs w:val="21"/>
              </w:rPr>
            </w:pPr>
            <w:r>
              <w:rPr>
                <w:rFonts w:hint="eastAsia" w:ascii="宋体" w:hAnsi="宋体" w:cs="宋体"/>
                <w:bCs/>
                <w:color w:val="auto"/>
                <w:szCs w:val="21"/>
              </w:rPr>
              <w:t>监视和测量资源</w:t>
            </w:r>
          </w:p>
          <w:p>
            <w:pPr>
              <w:spacing w:line="380" w:lineRule="exact"/>
              <w:rPr>
                <w:rFonts w:ascii="宋体" w:hAnsi="宋体" w:cs="宋体"/>
                <w:color w:val="auto"/>
                <w:szCs w:val="21"/>
              </w:rPr>
            </w:pPr>
          </w:p>
        </w:tc>
        <w:tc>
          <w:tcPr>
            <w:tcW w:w="1070" w:type="dxa"/>
          </w:tcPr>
          <w:p>
            <w:pPr>
              <w:spacing w:line="380" w:lineRule="exact"/>
              <w:rPr>
                <w:rFonts w:ascii="宋体" w:hAnsi="宋体" w:cs="宋体"/>
                <w:bCs/>
                <w:color w:val="auto"/>
                <w:szCs w:val="21"/>
              </w:rPr>
            </w:pPr>
            <w:r>
              <w:rPr>
                <w:rFonts w:hint="eastAsia" w:ascii="宋体" w:hAnsi="宋体" w:cs="宋体"/>
                <w:bCs/>
                <w:color w:val="auto"/>
                <w:szCs w:val="21"/>
              </w:rPr>
              <w:t>Q7.1.5</w:t>
            </w:r>
          </w:p>
          <w:p>
            <w:pPr>
              <w:spacing w:line="380" w:lineRule="exact"/>
              <w:rPr>
                <w:rFonts w:ascii="宋体" w:hAnsi="宋体" w:cs="宋体"/>
                <w:color w:val="auto"/>
                <w:szCs w:val="21"/>
              </w:rPr>
            </w:pPr>
          </w:p>
        </w:tc>
        <w:tc>
          <w:tcPr>
            <w:tcW w:w="11172" w:type="dxa"/>
            <w:gridSpan w:val="2"/>
          </w:tcPr>
          <w:p>
            <w:pPr>
              <w:rPr>
                <w:rFonts w:hint="default"/>
                <w:color w:val="auto"/>
                <w:lang w:val="en-US" w:eastAsia="zh-CN"/>
              </w:rPr>
            </w:pPr>
            <w:r>
              <w:rPr>
                <w:rFonts w:hint="eastAsia"/>
                <w:color w:val="auto"/>
                <w:lang w:val="en-US" w:eastAsia="zh-CN"/>
              </w:rPr>
              <w:t>公司监视测量设备：无</w:t>
            </w:r>
          </w:p>
          <w:p>
            <w:pPr>
              <w:rPr>
                <w:color w:val="auto"/>
              </w:rPr>
            </w:pPr>
            <w:r>
              <w:rPr>
                <w:rFonts w:hint="eastAsia"/>
                <w:color w:val="auto"/>
              </w:rPr>
              <w:t>计算机软件监视测量</w:t>
            </w:r>
            <w:r>
              <w:rPr>
                <w:rFonts w:hint="eastAsia"/>
                <w:color w:val="auto"/>
                <w:lang w:eastAsia="zh-CN"/>
              </w:rPr>
              <w:t>：</w:t>
            </w:r>
            <w:r>
              <w:rPr>
                <w:rFonts w:hint="eastAsia" w:ascii="宋体" w:hAnsi="宋体"/>
                <w:color w:val="auto"/>
                <w:spacing w:val="-10"/>
                <w:szCs w:val="21"/>
                <w:lang w:val="en-US" w:eastAsia="zh-CN"/>
              </w:rPr>
              <w:t xml:space="preserve"> HP PC</w:t>
            </w:r>
            <w:r>
              <w:rPr>
                <w:rFonts w:hint="eastAsia" w:ascii="宋体" w:hAnsi="宋体"/>
                <w:color w:val="auto"/>
                <w:spacing w:val="-10"/>
                <w:szCs w:val="21"/>
                <w:lang w:val="en-US" w:eastAsia="zh-CN"/>
              </w:rPr>
              <w:tab/>
            </w:r>
            <w:r>
              <w:rPr>
                <w:rFonts w:hint="eastAsia" w:ascii="宋体" w:hAnsi="宋体"/>
                <w:color w:val="auto"/>
                <w:spacing w:val="-10"/>
                <w:szCs w:val="21"/>
                <w:lang w:val="en-US" w:eastAsia="zh-CN"/>
              </w:rPr>
              <w:t>Pavilion 550-259cn</w:t>
            </w:r>
            <w:r>
              <w:rPr>
                <w:rFonts w:hint="eastAsia" w:ascii="宋体" w:hAnsi="宋体"/>
                <w:color w:val="auto"/>
                <w:spacing w:val="-10"/>
                <w:szCs w:val="21"/>
                <w:lang w:val="en-US" w:eastAsia="zh-CN"/>
              </w:rPr>
              <w:tab/>
            </w:r>
            <w:r>
              <w:rPr>
                <w:rFonts w:hint="eastAsia" w:ascii="宋体" w:hAnsi="宋体"/>
                <w:color w:val="auto"/>
                <w:spacing w:val="-10"/>
                <w:szCs w:val="21"/>
                <w:lang w:val="en-US" w:eastAsia="zh-CN"/>
              </w:rPr>
              <w:t>火狐浏览器、</w:t>
            </w:r>
            <w:r>
              <w:rPr>
                <w:rFonts w:hint="eastAsia" w:ascii="宋体" w:hAnsi="宋体"/>
                <w:color w:val="auto"/>
                <w:spacing w:val="-10"/>
                <w:szCs w:val="21"/>
                <w:lang w:val="en-US" w:eastAsia="zh-CN"/>
              </w:rPr>
              <w:tab/>
            </w:r>
            <w:r>
              <w:rPr>
                <w:rFonts w:hint="eastAsia" w:ascii="宋体" w:hAnsi="宋体"/>
                <w:color w:val="auto"/>
                <w:spacing w:val="-10"/>
                <w:szCs w:val="21"/>
                <w:lang w:val="en-US" w:eastAsia="zh-CN"/>
              </w:rPr>
              <w:t>Unity webplayer</w:t>
            </w:r>
            <w:r>
              <w:rPr>
                <w:rFonts w:hint="eastAsia" w:ascii="宋体" w:hAnsi="宋体"/>
                <w:color w:val="auto"/>
                <w:spacing w:val="-10"/>
                <w:szCs w:val="21"/>
                <w:lang w:val="en-US" w:eastAsia="zh-CN"/>
              </w:rPr>
              <w:tab/>
            </w:r>
            <w:r>
              <w:rPr>
                <w:rFonts w:hint="eastAsia" w:ascii="宋体" w:hAnsi="宋体"/>
                <w:color w:val="auto"/>
                <w:spacing w:val="-10"/>
                <w:szCs w:val="21"/>
                <w:lang w:val="en-US" w:eastAsia="zh-CN"/>
              </w:rPr>
              <w:t xml:space="preserve">5.0.1、Lenovo </w:t>
            </w:r>
            <w:r>
              <w:rPr>
                <w:rFonts w:hint="eastAsia" w:ascii="宋体" w:hAnsi="宋体"/>
                <w:color w:val="auto"/>
                <w:spacing w:val="-10"/>
                <w:szCs w:val="21"/>
                <w:lang w:val="en-US" w:eastAsia="zh-CN"/>
              </w:rPr>
              <w:tab/>
            </w:r>
            <w:r>
              <w:rPr>
                <w:rFonts w:hint="eastAsia" w:ascii="宋体" w:hAnsi="宋体"/>
                <w:color w:val="auto"/>
                <w:spacing w:val="-10"/>
                <w:szCs w:val="21"/>
                <w:lang w:val="en-US" w:eastAsia="zh-CN"/>
              </w:rPr>
              <w:t>Z460</w:t>
            </w:r>
            <w:r>
              <w:rPr>
                <w:rFonts w:hint="eastAsia" w:ascii="宋体" w:hAnsi="宋体"/>
                <w:color w:val="auto"/>
                <w:spacing w:val="-10"/>
                <w:szCs w:val="21"/>
                <w:lang w:val="en-US" w:eastAsia="zh-CN"/>
              </w:rPr>
              <w:tab/>
            </w:r>
            <w:r>
              <w:rPr>
                <w:rFonts w:hint="eastAsia" w:ascii="宋体" w:hAnsi="宋体"/>
                <w:color w:val="auto"/>
                <w:spacing w:val="-10"/>
                <w:szCs w:val="21"/>
              </w:rPr>
              <w:t>等</w:t>
            </w:r>
          </w:p>
          <w:p>
            <w:pPr>
              <w:spacing w:line="380" w:lineRule="exact"/>
              <w:ind w:firstLine="420" w:firstLineChars="200"/>
              <w:rPr>
                <w:rFonts w:hint="eastAsia"/>
                <w:color w:val="auto"/>
              </w:rPr>
            </w:pPr>
            <w:r>
              <w:rPr>
                <w:rFonts w:hint="eastAsia"/>
                <w:color w:val="auto"/>
                <w:lang w:val="en-US" w:eastAsia="zh-CN"/>
              </w:rPr>
              <w:t>公司</w:t>
            </w:r>
            <w:r>
              <w:rPr>
                <w:rFonts w:hint="eastAsia"/>
                <w:color w:val="auto"/>
              </w:rPr>
              <w:t>无封存和报废监视测量设备。</w:t>
            </w:r>
          </w:p>
          <w:p>
            <w:pPr>
              <w:pStyle w:val="10"/>
              <w:rPr>
                <w:rFonts w:hint="default" w:eastAsia="宋体"/>
                <w:color w:val="auto"/>
                <w:lang w:val="en-US" w:eastAsia="zh-CN"/>
              </w:rPr>
            </w:pPr>
            <w:r>
              <w:rPr>
                <w:rFonts w:hint="eastAsia"/>
                <w:color w:val="auto"/>
                <w:szCs w:val="21"/>
                <w:lang w:val="en-US" w:eastAsia="zh-CN"/>
              </w:rPr>
              <w:t xml:space="preserve">   公司的监视测量主要是</w:t>
            </w:r>
            <w:r>
              <w:rPr>
                <w:rFonts w:hint="eastAsia"/>
                <w:color w:val="auto"/>
                <w:szCs w:val="21"/>
              </w:rPr>
              <w:t>通过是内审\目标\绩效监视测量\平时的工作检查情况进行监视测量</w:t>
            </w:r>
          </w:p>
        </w:tc>
        <w:tc>
          <w:tcPr>
            <w:tcW w:w="760" w:type="dxa"/>
          </w:tcPr>
          <w:p>
            <w:pPr>
              <w:spacing w:line="320" w:lineRule="exact"/>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707" w:type="dxa"/>
            <w:noWrap w:val="0"/>
            <w:vAlign w:val="center"/>
          </w:tcPr>
          <w:p>
            <w:pPr>
              <w:rPr>
                <w:rFonts w:hint="eastAsia"/>
                <w:color w:val="auto"/>
                <w:szCs w:val="21"/>
              </w:rPr>
            </w:pPr>
            <w:r>
              <w:rPr>
                <w:rFonts w:hint="eastAsia"/>
                <w:color w:val="auto"/>
                <w:szCs w:val="21"/>
              </w:rPr>
              <w:t>运行策划和控制</w:t>
            </w:r>
          </w:p>
          <w:p>
            <w:pPr>
              <w:rPr>
                <w:rFonts w:hint="eastAsia"/>
                <w:color w:val="auto"/>
                <w:szCs w:val="21"/>
              </w:rPr>
            </w:pPr>
          </w:p>
          <w:p>
            <w:pPr>
              <w:rPr>
                <w:rFonts w:hint="eastAsia"/>
                <w:color w:val="auto"/>
                <w:szCs w:val="21"/>
              </w:rPr>
            </w:pPr>
          </w:p>
          <w:p>
            <w:pPr>
              <w:rPr>
                <w:rFonts w:hint="eastAsia"/>
                <w:color w:val="auto"/>
                <w:szCs w:val="21"/>
              </w:rPr>
            </w:pPr>
          </w:p>
          <w:p>
            <w:pPr>
              <w:rPr>
                <w:rFonts w:hint="eastAsia"/>
                <w:color w:val="auto"/>
                <w:szCs w:val="21"/>
              </w:rPr>
            </w:pPr>
          </w:p>
          <w:p>
            <w:pPr>
              <w:rPr>
                <w:rFonts w:hint="eastAsia"/>
                <w:color w:val="auto"/>
                <w:szCs w:val="21"/>
              </w:rPr>
            </w:pPr>
          </w:p>
        </w:tc>
        <w:tc>
          <w:tcPr>
            <w:tcW w:w="1070" w:type="dxa"/>
            <w:noWrap w:val="0"/>
            <w:vAlign w:val="center"/>
          </w:tcPr>
          <w:p>
            <w:pPr>
              <w:rPr>
                <w:color w:val="auto"/>
              </w:rPr>
            </w:pPr>
            <w:r>
              <w:rPr>
                <w:rFonts w:hint="eastAsia"/>
                <w:color w:val="auto"/>
                <w:szCs w:val="21"/>
              </w:rPr>
              <w:t>Q8.1</w:t>
            </w:r>
          </w:p>
        </w:tc>
        <w:tc>
          <w:tcPr>
            <w:tcW w:w="11098" w:type="dxa"/>
            <w:noWrap w:val="0"/>
            <w:vAlign w:val="center"/>
          </w:tcPr>
          <w:p>
            <w:pPr>
              <w:rPr>
                <w:rFonts w:hint="eastAsia"/>
                <w:color w:val="auto"/>
                <w:szCs w:val="21"/>
              </w:rPr>
            </w:pPr>
          </w:p>
          <w:p>
            <w:pPr>
              <w:rPr>
                <w:rFonts w:hint="eastAsia"/>
                <w:color w:val="auto"/>
                <w:szCs w:val="21"/>
              </w:rPr>
            </w:pPr>
            <w:r>
              <w:rPr>
                <w:rFonts w:hint="eastAsia"/>
                <w:color w:val="auto"/>
                <w:szCs w:val="21"/>
              </w:rPr>
              <w:t>范围：</w:t>
            </w:r>
            <w:r>
              <w:rPr>
                <w:color w:val="auto"/>
                <w:sz w:val="20"/>
              </w:rPr>
              <w:t>石油管道检测的技术推广服务；电子产品、仪器仪表的销售</w:t>
            </w:r>
          </w:p>
          <w:p>
            <w:pPr>
              <w:ind w:firstLine="420" w:firstLineChars="200"/>
              <w:rPr>
                <w:rFonts w:hint="eastAsia"/>
                <w:color w:val="auto"/>
                <w:szCs w:val="21"/>
              </w:rPr>
            </w:pPr>
            <w:r>
              <w:rPr>
                <w:rFonts w:hint="eastAsia"/>
                <w:color w:val="auto"/>
                <w:szCs w:val="21"/>
              </w:rPr>
              <w:t>1.规定产品目标和要求</w:t>
            </w:r>
          </w:p>
          <w:p>
            <w:pPr>
              <w:rPr>
                <w:rFonts w:hint="eastAsia"/>
                <w:color w:val="auto"/>
              </w:rPr>
            </w:pPr>
            <w:r>
              <w:rPr>
                <w:rFonts w:hint="eastAsia"/>
                <w:color w:val="auto"/>
              </w:rPr>
              <w:t>技术推广服务合格率100%</w:t>
            </w:r>
          </w:p>
          <w:p>
            <w:pPr>
              <w:rPr>
                <w:rFonts w:hint="eastAsia"/>
                <w:color w:val="auto"/>
              </w:rPr>
            </w:pPr>
            <w:r>
              <w:rPr>
                <w:rFonts w:hint="eastAsia"/>
                <w:color w:val="auto"/>
              </w:rPr>
              <w:t>产品交付及时率100%</w:t>
            </w:r>
          </w:p>
          <w:p>
            <w:pPr>
              <w:rPr>
                <w:rFonts w:hint="eastAsia"/>
                <w:color w:val="auto"/>
              </w:rPr>
            </w:pPr>
            <w:r>
              <w:rPr>
                <w:rFonts w:hint="eastAsia"/>
                <w:color w:val="auto"/>
              </w:rPr>
              <w:t>服务质量合格率100%</w:t>
            </w:r>
          </w:p>
          <w:p>
            <w:pPr>
              <w:rPr>
                <w:rFonts w:hint="eastAsia"/>
                <w:color w:val="auto"/>
              </w:rPr>
            </w:pPr>
            <w:r>
              <w:rPr>
                <w:rFonts w:hint="eastAsia"/>
                <w:color w:val="auto"/>
              </w:rPr>
              <w:t>服务按时完成率100%</w:t>
            </w:r>
          </w:p>
          <w:p>
            <w:pPr>
              <w:rPr>
                <w:rFonts w:hint="eastAsia"/>
                <w:color w:val="auto"/>
              </w:rPr>
            </w:pPr>
            <w:r>
              <w:rPr>
                <w:rFonts w:hint="eastAsia"/>
                <w:color w:val="auto"/>
              </w:rPr>
              <w:t>灭火器配置率100％</w:t>
            </w:r>
          </w:p>
          <w:p>
            <w:pPr>
              <w:rPr>
                <w:rFonts w:hint="eastAsia"/>
                <w:color w:val="auto"/>
              </w:rPr>
            </w:pPr>
            <w:r>
              <w:rPr>
                <w:rFonts w:hint="eastAsia"/>
                <w:color w:val="auto"/>
              </w:rPr>
              <w:t>固废100％分类进行处理</w:t>
            </w:r>
          </w:p>
          <w:p>
            <w:pPr>
              <w:rPr>
                <w:rFonts w:hint="eastAsia"/>
                <w:color w:val="auto"/>
              </w:rPr>
            </w:pPr>
            <w:r>
              <w:rPr>
                <w:rFonts w:hint="eastAsia"/>
                <w:color w:val="auto"/>
              </w:rPr>
              <w:t>无重大环境投诉</w:t>
            </w:r>
          </w:p>
          <w:p>
            <w:pPr>
              <w:rPr>
                <w:rFonts w:hint="eastAsia"/>
                <w:color w:val="auto"/>
              </w:rPr>
            </w:pPr>
            <w:r>
              <w:rPr>
                <w:rFonts w:hint="eastAsia"/>
                <w:color w:val="auto"/>
              </w:rPr>
              <w:t>火灾事故发生率为0。</w:t>
            </w:r>
          </w:p>
          <w:p>
            <w:pPr>
              <w:rPr>
                <w:color w:val="auto"/>
              </w:rPr>
            </w:pPr>
            <w:r>
              <w:rPr>
                <w:rFonts w:hint="eastAsia"/>
                <w:color w:val="auto"/>
              </w:rPr>
              <w:t>各类重伤以上事故发生率为零；</w:t>
            </w:r>
            <w:r>
              <w:rPr>
                <w:rFonts w:hint="eastAsia"/>
                <w:color w:val="auto"/>
                <w:sz w:val="24"/>
                <w:szCs w:val="22"/>
              </w:rPr>
              <w:t xml:space="preserve">            </w:t>
            </w:r>
          </w:p>
          <w:p>
            <w:pPr>
              <w:rPr>
                <w:color w:val="auto"/>
                <w:szCs w:val="21"/>
              </w:rPr>
            </w:pPr>
            <w:r>
              <w:rPr>
                <w:rFonts w:hint="eastAsia"/>
                <w:color w:val="auto"/>
                <w:szCs w:val="21"/>
              </w:rPr>
              <w:t>2.提供了《服务过程控制程序》、《</w:t>
            </w:r>
            <w:r>
              <w:rPr>
                <w:rFonts w:hint="eastAsia" w:ascii="宋体" w:hAnsi="宋体"/>
                <w:color w:val="auto"/>
                <w:szCs w:val="21"/>
                <w:lang w:val="en-US" w:eastAsia="zh-CN"/>
              </w:rPr>
              <w:t>销售</w:t>
            </w:r>
            <w:r>
              <w:rPr>
                <w:rFonts w:hint="eastAsia"/>
                <w:color w:val="auto"/>
                <w:szCs w:val="21"/>
              </w:rPr>
              <w:t>控制程序》、《</w:t>
            </w:r>
            <w:r>
              <w:rPr>
                <w:rFonts w:hint="eastAsia"/>
                <w:color w:val="auto"/>
                <w:szCs w:val="21"/>
                <w:lang w:val="en-US" w:eastAsia="zh-CN"/>
              </w:rPr>
              <w:t>技术服务操作规程</w:t>
            </w:r>
            <w:r>
              <w:rPr>
                <w:rFonts w:hint="eastAsia"/>
                <w:color w:val="auto"/>
                <w:szCs w:val="21"/>
              </w:rPr>
              <w:t>》、对</w:t>
            </w:r>
            <w:r>
              <w:rPr>
                <w:rFonts w:hint="eastAsia" w:ascii="宋体" w:hAnsi="宋体"/>
                <w:color w:val="auto"/>
                <w:szCs w:val="21"/>
              </w:rPr>
              <w:t>技术</w:t>
            </w:r>
            <w:r>
              <w:rPr>
                <w:rFonts w:hint="eastAsia" w:ascii="宋体" w:hAnsi="宋体"/>
                <w:color w:val="auto"/>
                <w:szCs w:val="21"/>
                <w:lang w:val="en-US" w:eastAsia="zh-CN"/>
              </w:rPr>
              <w:t>服务</w:t>
            </w:r>
            <w:r>
              <w:rPr>
                <w:rFonts w:hint="eastAsia" w:ascii="宋体" w:hAnsi="宋体"/>
                <w:color w:val="auto"/>
                <w:szCs w:val="21"/>
              </w:rPr>
              <w:t>及相关技术活动</w:t>
            </w:r>
            <w:r>
              <w:rPr>
                <w:rFonts w:hint="eastAsia"/>
                <w:color w:val="auto"/>
                <w:szCs w:val="21"/>
              </w:rPr>
              <w:t>的</w:t>
            </w:r>
            <w:r>
              <w:rPr>
                <w:rFonts w:hint="eastAsia"/>
                <w:color w:val="auto"/>
                <w:szCs w:val="21"/>
                <w:lang w:val="en-US" w:eastAsia="zh-CN"/>
              </w:rPr>
              <w:t>过程</w:t>
            </w:r>
            <w:r>
              <w:rPr>
                <w:rFonts w:hint="eastAsia"/>
                <w:color w:val="auto"/>
                <w:szCs w:val="21"/>
              </w:rPr>
              <w:t>、项目和合同应进行质量策划。质量目标已达到顾客要求；</w:t>
            </w:r>
          </w:p>
          <w:p>
            <w:pPr>
              <w:rPr>
                <w:rFonts w:hint="eastAsia"/>
                <w:color w:val="auto"/>
                <w:szCs w:val="21"/>
              </w:rPr>
            </w:pPr>
            <w:r>
              <w:rPr>
                <w:rFonts w:hint="eastAsia"/>
                <w:color w:val="auto"/>
                <w:szCs w:val="21"/>
              </w:rPr>
              <w:t>执行标准：</w:t>
            </w:r>
          </w:p>
          <w:p>
            <w:pPr>
              <w:rPr>
                <w:rFonts w:hint="eastAsia"/>
                <w:color w:val="auto"/>
              </w:rPr>
            </w:pPr>
            <w:r>
              <w:rPr>
                <w:rFonts w:hint="eastAsia"/>
                <w:color w:val="auto"/>
              </w:rPr>
              <w:t>GB/T 9116-2010 带颈平焊钢制管法兰</w:t>
            </w:r>
            <w:r>
              <w:rPr>
                <w:rFonts w:hint="eastAsia"/>
                <w:color w:val="auto"/>
              </w:rPr>
              <w:tab/>
            </w:r>
            <w:r>
              <w:rPr>
                <w:rFonts w:hint="eastAsia"/>
                <w:color w:val="auto"/>
              </w:rPr>
              <w:t>国家质监总局</w:t>
            </w:r>
          </w:p>
          <w:p>
            <w:pPr>
              <w:rPr>
                <w:rFonts w:hint="eastAsia"/>
                <w:color w:val="auto"/>
              </w:rPr>
            </w:pPr>
            <w:r>
              <w:rPr>
                <w:rFonts w:hint="eastAsia"/>
                <w:color w:val="auto"/>
              </w:rPr>
              <w:t>JB/T 5452.2-1991</w:t>
            </w:r>
            <w:r>
              <w:rPr>
                <w:rFonts w:hint="eastAsia"/>
                <w:color w:val="auto"/>
                <w:lang w:val="en-US" w:eastAsia="zh-CN"/>
              </w:rPr>
              <w:t xml:space="preserve"> </w:t>
            </w:r>
            <w:r>
              <w:rPr>
                <w:rFonts w:hint="eastAsia"/>
                <w:color w:val="auto"/>
              </w:rPr>
              <w:t>仪器仪表用电子器件产品规范</w:t>
            </w:r>
            <w:r>
              <w:rPr>
                <w:rFonts w:hint="eastAsia"/>
                <w:color w:val="auto"/>
              </w:rPr>
              <w:tab/>
            </w:r>
            <w:r>
              <w:rPr>
                <w:rFonts w:hint="eastAsia"/>
                <w:color w:val="auto"/>
              </w:rPr>
              <w:t>国家机械工业局</w:t>
            </w:r>
          </w:p>
          <w:p>
            <w:pPr>
              <w:rPr>
                <w:rFonts w:hint="eastAsia"/>
                <w:color w:val="auto"/>
              </w:rPr>
            </w:pPr>
            <w:r>
              <w:rPr>
                <w:rFonts w:hint="eastAsia"/>
                <w:color w:val="auto"/>
              </w:rPr>
              <w:t>SYT 6597-2014 油气管道内检测技术规范</w:t>
            </w:r>
            <w:r>
              <w:rPr>
                <w:rFonts w:hint="eastAsia"/>
                <w:color w:val="auto"/>
              </w:rPr>
              <w:tab/>
            </w:r>
            <w:r>
              <w:rPr>
                <w:rFonts w:hint="eastAsia"/>
                <w:color w:val="auto"/>
              </w:rPr>
              <w:t>国家能源局</w:t>
            </w:r>
          </w:p>
          <w:p>
            <w:pPr>
              <w:rPr>
                <w:rFonts w:hint="eastAsia"/>
                <w:color w:val="auto"/>
              </w:rPr>
            </w:pPr>
            <w:r>
              <w:rPr>
                <w:rFonts w:hint="eastAsia"/>
                <w:color w:val="auto"/>
              </w:rPr>
              <w:t>GJB 2610-1996 航天用不锈钢极薄壁无缝管规范</w:t>
            </w:r>
            <w:r>
              <w:rPr>
                <w:rFonts w:hint="eastAsia"/>
                <w:color w:val="auto"/>
              </w:rPr>
              <w:tab/>
            </w:r>
            <w:r>
              <w:rPr>
                <w:rFonts w:hint="eastAsia"/>
                <w:color w:val="auto"/>
              </w:rPr>
              <w:t>国防科委</w:t>
            </w:r>
          </w:p>
          <w:p>
            <w:pPr>
              <w:rPr>
                <w:rFonts w:hint="eastAsia"/>
                <w:color w:val="auto"/>
              </w:rPr>
            </w:pPr>
            <w:r>
              <w:rPr>
                <w:rFonts w:hint="eastAsia"/>
                <w:color w:val="auto"/>
              </w:rPr>
              <w:t>JJG49-2013弹性元件式精密压力表和真空表</w:t>
            </w:r>
            <w:r>
              <w:rPr>
                <w:rFonts w:hint="eastAsia"/>
                <w:color w:val="auto"/>
              </w:rPr>
              <w:tab/>
            </w:r>
            <w:r>
              <w:rPr>
                <w:rFonts w:hint="eastAsia"/>
                <w:color w:val="auto"/>
              </w:rPr>
              <w:t>国家质监总局</w:t>
            </w:r>
          </w:p>
          <w:p>
            <w:pPr>
              <w:rPr>
                <w:rFonts w:hint="eastAsia"/>
                <w:color w:val="auto"/>
              </w:rPr>
            </w:pPr>
            <w:r>
              <w:rPr>
                <w:rFonts w:hint="eastAsia"/>
                <w:color w:val="auto"/>
              </w:rPr>
              <w:t>JJG 52-2013弹性元件式一般压力表、压力真空表和真空表</w:t>
            </w:r>
            <w:r>
              <w:rPr>
                <w:rFonts w:hint="eastAsia"/>
                <w:color w:val="auto"/>
              </w:rPr>
              <w:tab/>
            </w:r>
            <w:r>
              <w:rPr>
                <w:rFonts w:hint="eastAsia"/>
                <w:color w:val="auto"/>
              </w:rPr>
              <w:t>国家质监总局</w:t>
            </w:r>
          </w:p>
          <w:p>
            <w:pPr>
              <w:rPr>
                <w:rFonts w:hint="eastAsia" w:cs="Arial"/>
                <w:color w:val="auto"/>
                <w:kern w:val="0"/>
                <w:lang w:val="en-US" w:eastAsia="zh-CN"/>
              </w:rPr>
            </w:pPr>
          </w:p>
          <w:p>
            <w:pPr>
              <w:rPr>
                <w:rFonts w:hint="eastAsia" w:eastAsia="宋体" w:cs="Arial"/>
                <w:color w:val="auto"/>
                <w:kern w:val="0"/>
                <w:lang w:val="en-US" w:eastAsia="zh-CN"/>
              </w:rPr>
            </w:pPr>
            <w:r>
              <w:rPr>
                <w:rFonts w:hint="eastAsia" w:cs="Arial"/>
                <w:color w:val="auto"/>
                <w:kern w:val="0"/>
                <w:lang w:val="en-US" w:eastAsia="zh-CN"/>
              </w:rPr>
              <w:t>3.流程</w:t>
            </w:r>
          </w:p>
          <w:p>
            <w:pPr>
              <w:rPr>
                <w:rFonts w:hint="eastAsia"/>
                <w:color w:val="auto"/>
              </w:rPr>
            </w:pPr>
            <w:r>
              <w:rPr>
                <w:rFonts w:hint="eastAsia" w:ascii="宋体" w:hAnsi="宋体"/>
                <w:color w:val="auto"/>
                <w:szCs w:val="21"/>
              </w:rPr>
              <w:t>石油管道检测的技术推广服务</w:t>
            </w:r>
            <w:r>
              <w:rPr>
                <w:rFonts w:hint="eastAsia" w:ascii="宋体" w:hAnsi="宋体"/>
                <w:color w:val="auto"/>
                <w:szCs w:val="21"/>
                <w:lang w:eastAsia="zh-CN"/>
              </w:rPr>
              <w:t>：</w:t>
            </w:r>
            <w:r>
              <w:rPr>
                <w:rFonts w:hint="eastAsia"/>
                <w:color w:val="auto"/>
              </w:rPr>
              <w:t>顾客提供需求-方案策划-客户确认-项目研制报告-交付-验收</w:t>
            </w:r>
          </w:p>
          <w:p>
            <w:pPr>
              <w:rPr>
                <w:rFonts w:hint="eastAsia" w:eastAsiaTheme="minorEastAsia"/>
                <w:color w:val="auto"/>
                <w:lang w:val="en-US" w:eastAsia="zh-CN"/>
              </w:rPr>
            </w:pPr>
            <w:r>
              <w:rPr>
                <w:rFonts w:hint="eastAsia"/>
                <w:color w:val="auto"/>
              </w:rPr>
              <w:t>电子产品、仪器仪表的销售</w:t>
            </w:r>
            <w:r>
              <w:rPr>
                <w:rFonts w:hint="eastAsia"/>
                <w:color w:val="auto"/>
                <w:lang w:val="en-US" w:eastAsia="zh-CN"/>
              </w:rPr>
              <w:t>流程：客户接触----合同评审----签订合同-----客户付款------入帐------采购-----客户提货-----验收</w:t>
            </w:r>
          </w:p>
          <w:p>
            <w:pPr>
              <w:spacing w:line="360" w:lineRule="exact"/>
              <w:rPr>
                <w:rFonts w:hint="eastAsia"/>
                <w:color w:val="auto"/>
                <w:szCs w:val="21"/>
              </w:rPr>
            </w:pPr>
            <w:r>
              <w:rPr>
                <w:rFonts w:hint="eastAsia"/>
                <w:color w:val="auto"/>
                <w:lang w:val="en-US" w:eastAsia="zh-CN"/>
              </w:rPr>
              <w:t>关键过程：</w:t>
            </w:r>
            <w:r>
              <w:rPr>
                <w:rFonts w:hint="eastAsia" w:ascii="宋体" w:hAnsi="宋体"/>
                <w:color w:val="auto"/>
                <w:szCs w:val="21"/>
              </w:rPr>
              <w:t>技术推广服务</w:t>
            </w:r>
            <w:r>
              <w:rPr>
                <w:rFonts w:hint="eastAsia" w:ascii="宋体" w:hAnsi="宋体"/>
                <w:color w:val="auto"/>
                <w:szCs w:val="21"/>
                <w:lang w:val="en-US" w:eastAsia="zh-CN"/>
              </w:rPr>
              <w:t xml:space="preserve">过程 </w:t>
            </w:r>
          </w:p>
          <w:p>
            <w:pPr>
              <w:spacing w:line="360" w:lineRule="exact"/>
              <w:rPr>
                <w:color w:val="auto"/>
                <w:szCs w:val="21"/>
              </w:rPr>
            </w:pPr>
            <w:r>
              <w:rPr>
                <w:rFonts w:hint="eastAsia"/>
                <w:color w:val="auto"/>
                <w:szCs w:val="21"/>
              </w:rPr>
              <w:t>4.为实现产品质量目标配置了相应人员（如办公行政人员、</w:t>
            </w:r>
            <w:r>
              <w:rPr>
                <w:rFonts w:hint="eastAsia"/>
                <w:color w:val="auto"/>
                <w:szCs w:val="21"/>
                <w:lang w:val="en-US" w:eastAsia="zh-CN"/>
              </w:rPr>
              <w:t>技术服务人员</w:t>
            </w:r>
            <w:r>
              <w:rPr>
                <w:rFonts w:hint="eastAsia"/>
                <w:color w:val="auto"/>
                <w:szCs w:val="21"/>
              </w:rPr>
              <w:t>、市场销售人员等)，设施(如电脑、打印机、传真机等），</w:t>
            </w:r>
            <w:r>
              <w:rPr>
                <w:rFonts w:hint="eastAsia"/>
                <w:color w:val="auto"/>
                <w:szCs w:val="21"/>
                <w:lang w:val="en-US" w:eastAsia="zh-CN"/>
              </w:rPr>
              <w:t>收集了技术服务人员的相关能力证明，</w:t>
            </w:r>
            <w:r>
              <w:rPr>
                <w:rFonts w:hint="eastAsia"/>
                <w:color w:val="auto"/>
                <w:szCs w:val="21"/>
              </w:rPr>
              <w:t>可满足现</w:t>
            </w:r>
            <w:r>
              <w:rPr>
                <w:rFonts w:hint="eastAsia"/>
                <w:color w:val="auto"/>
                <w:szCs w:val="21"/>
                <w:lang w:val="en-US" w:eastAsia="zh-CN"/>
              </w:rPr>
              <w:t>技术服务</w:t>
            </w:r>
            <w:r>
              <w:rPr>
                <w:rFonts w:hint="eastAsia"/>
                <w:color w:val="auto"/>
                <w:szCs w:val="21"/>
              </w:rPr>
              <w:t>要求；</w:t>
            </w:r>
          </w:p>
          <w:p>
            <w:pPr>
              <w:rPr>
                <w:color w:val="auto"/>
                <w:szCs w:val="21"/>
              </w:rPr>
            </w:pPr>
            <w:r>
              <w:rPr>
                <w:rFonts w:hint="eastAsia"/>
                <w:color w:val="auto"/>
                <w:szCs w:val="21"/>
              </w:rPr>
              <w:t>5.编制了相应的</w:t>
            </w:r>
            <w:r>
              <w:rPr>
                <w:rFonts w:hint="eastAsia"/>
                <w:color w:val="auto"/>
                <w:szCs w:val="21"/>
                <w:lang w:val="en-US" w:eastAsia="zh-CN"/>
              </w:rPr>
              <w:t>技术</w:t>
            </w:r>
            <w:r>
              <w:rPr>
                <w:rFonts w:hint="eastAsia"/>
                <w:color w:val="auto"/>
                <w:szCs w:val="21"/>
              </w:rPr>
              <w:t>服务作业文件：作业指导书</w:t>
            </w:r>
            <w:r>
              <w:rPr>
                <w:rFonts w:hint="eastAsia"/>
                <w:color w:val="auto"/>
                <w:szCs w:val="21"/>
                <w:lang w:eastAsia="zh-CN"/>
              </w:rPr>
              <w:t>、</w:t>
            </w:r>
            <w:r>
              <w:rPr>
                <w:rFonts w:hint="eastAsia"/>
                <w:color w:val="auto"/>
                <w:szCs w:val="21"/>
                <w:lang w:val="en-US" w:eastAsia="zh-CN"/>
              </w:rPr>
              <w:t>技术咨询</w:t>
            </w:r>
            <w:r>
              <w:rPr>
                <w:rFonts w:hint="eastAsia"/>
                <w:color w:val="auto"/>
                <w:szCs w:val="21"/>
              </w:rPr>
              <w:t>合同、</w:t>
            </w:r>
            <w:r>
              <w:rPr>
                <w:color w:val="auto"/>
                <w:szCs w:val="21"/>
              </w:rPr>
              <w:t>相关标准、用户要求等，以保证</w:t>
            </w:r>
            <w:r>
              <w:rPr>
                <w:rFonts w:hint="eastAsia"/>
                <w:color w:val="auto"/>
                <w:szCs w:val="21"/>
                <w:lang w:val="en-US" w:eastAsia="zh-CN"/>
              </w:rPr>
              <w:t>技术服务</w:t>
            </w:r>
            <w:r>
              <w:rPr>
                <w:color w:val="auto"/>
                <w:szCs w:val="21"/>
              </w:rPr>
              <w:t>满足要求。</w:t>
            </w:r>
          </w:p>
          <w:p>
            <w:pPr>
              <w:pStyle w:val="10"/>
              <w:rPr>
                <w:rFonts w:hint="default" w:eastAsia="宋体"/>
                <w:color w:val="auto"/>
                <w:lang w:val="en-US" w:eastAsia="zh-CN"/>
              </w:rPr>
            </w:pPr>
            <w:r>
              <w:rPr>
                <w:rFonts w:hint="eastAsia"/>
                <w:color w:val="auto"/>
                <w:szCs w:val="21"/>
                <w:lang w:val="en-US" w:eastAsia="zh-CN"/>
              </w:rPr>
              <w:t>验收通过客户确认方式。</w:t>
            </w:r>
          </w:p>
          <w:p>
            <w:pPr>
              <w:rPr>
                <w:color w:val="auto"/>
                <w:szCs w:val="21"/>
              </w:rPr>
            </w:pPr>
            <w:r>
              <w:rPr>
                <w:rFonts w:hint="eastAsia"/>
                <w:color w:val="auto"/>
                <w:szCs w:val="21"/>
              </w:rPr>
              <w:t>7.</w:t>
            </w:r>
            <w:r>
              <w:rPr>
                <w:color w:val="auto"/>
                <w:szCs w:val="21"/>
              </w:rPr>
              <w:t>记录</w:t>
            </w:r>
            <w:r>
              <w:rPr>
                <w:rFonts w:hint="eastAsia"/>
                <w:color w:val="auto"/>
                <w:szCs w:val="21"/>
              </w:rPr>
              <w:t>：</w:t>
            </w:r>
            <w:r>
              <w:rPr>
                <w:color w:val="auto"/>
                <w:szCs w:val="21"/>
              </w:rPr>
              <w:t>策划有</w:t>
            </w:r>
            <w:r>
              <w:rPr>
                <w:rFonts w:hint="eastAsia"/>
                <w:color w:val="auto"/>
                <w:szCs w:val="21"/>
              </w:rPr>
              <w:t>委托</w:t>
            </w:r>
            <w:r>
              <w:rPr>
                <w:rFonts w:hint="eastAsia"/>
                <w:color w:val="auto"/>
                <w:szCs w:val="21"/>
                <w:lang w:eastAsia="zh-CN"/>
              </w:rPr>
              <w:t>技术</w:t>
            </w:r>
            <w:r>
              <w:rPr>
                <w:rFonts w:hint="eastAsia"/>
                <w:color w:val="auto"/>
                <w:szCs w:val="21"/>
              </w:rPr>
              <w:t>合同</w:t>
            </w:r>
            <w:r>
              <w:rPr>
                <w:color w:val="auto"/>
                <w:szCs w:val="21"/>
              </w:rPr>
              <w:t>、内部审核检查表、首末次会议记录、特殊过程确认记录等，基本满足产品实现需要。</w:t>
            </w:r>
          </w:p>
          <w:p>
            <w:pPr>
              <w:spacing w:line="360" w:lineRule="auto"/>
              <w:ind w:left="210" w:leftChars="100"/>
              <w:rPr>
                <w:color w:val="auto"/>
                <w:szCs w:val="21"/>
              </w:rPr>
            </w:pPr>
            <w:r>
              <w:rPr>
                <w:color w:val="auto"/>
                <w:szCs w:val="21"/>
              </w:rPr>
              <w:t>目前策划基本充分。</w:t>
            </w:r>
          </w:p>
          <w:p>
            <w:pPr>
              <w:rPr>
                <w:rFonts w:hint="eastAsia"/>
                <w:color w:val="auto"/>
                <w:szCs w:val="21"/>
              </w:rPr>
            </w:pPr>
          </w:p>
        </w:tc>
        <w:tc>
          <w:tcPr>
            <w:tcW w:w="834" w:type="dxa"/>
            <w:gridSpan w:val="2"/>
            <w:noWrap w:val="0"/>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1707" w:type="dxa"/>
            <w:vAlign w:val="center"/>
          </w:tcPr>
          <w:p>
            <w:pPr>
              <w:spacing w:line="360" w:lineRule="exact"/>
              <w:rPr>
                <w:rFonts w:hint="eastAsia"/>
                <w:color w:val="auto"/>
                <w:szCs w:val="21"/>
              </w:rPr>
            </w:pPr>
          </w:p>
          <w:p>
            <w:pPr>
              <w:spacing w:line="360" w:lineRule="exact"/>
              <w:rPr>
                <w:rFonts w:hint="eastAsia"/>
                <w:color w:val="auto"/>
                <w:szCs w:val="21"/>
              </w:rPr>
            </w:pPr>
          </w:p>
          <w:p>
            <w:pPr>
              <w:spacing w:line="360" w:lineRule="exact"/>
              <w:rPr>
                <w:color w:val="auto"/>
                <w:szCs w:val="21"/>
              </w:rPr>
            </w:pPr>
            <w:r>
              <w:rPr>
                <w:rFonts w:hint="eastAsia"/>
                <w:color w:val="auto"/>
                <w:szCs w:val="21"/>
              </w:rPr>
              <w:t>产品和服务的设计开发</w:t>
            </w:r>
          </w:p>
          <w:p>
            <w:pPr>
              <w:pStyle w:val="10"/>
              <w:rPr>
                <w:rFonts w:hint="eastAsia"/>
                <w:color w:val="auto"/>
              </w:rPr>
            </w:pPr>
          </w:p>
          <w:p>
            <w:pPr>
              <w:pStyle w:val="10"/>
              <w:rPr>
                <w:rFonts w:hint="default" w:ascii="Times New Roman" w:hAnsi="Times New Roman" w:eastAsia="宋体" w:cs="Times New Roman"/>
                <w:bCs/>
                <w:color w:val="auto"/>
                <w:spacing w:val="10"/>
                <w:kern w:val="2"/>
                <w:sz w:val="21"/>
                <w:lang w:val="en-US" w:eastAsia="zh-CN" w:bidi="ar-SA"/>
              </w:rPr>
            </w:pPr>
          </w:p>
        </w:tc>
        <w:tc>
          <w:tcPr>
            <w:tcW w:w="1070" w:type="dxa"/>
            <w:vAlign w:val="center"/>
          </w:tcPr>
          <w:p>
            <w:pPr>
              <w:spacing w:line="360" w:lineRule="exact"/>
              <w:rPr>
                <w:rFonts w:hint="default" w:eastAsia="宋体"/>
                <w:color w:val="auto"/>
                <w:szCs w:val="21"/>
                <w:lang w:val="en-US" w:eastAsia="zh-CN"/>
              </w:rPr>
            </w:pPr>
            <w:r>
              <w:rPr>
                <w:rFonts w:hint="eastAsia"/>
                <w:color w:val="auto"/>
                <w:szCs w:val="21"/>
              </w:rPr>
              <w:t>Q8.3</w:t>
            </w:r>
          </w:p>
          <w:p>
            <w:pPr>
              <w:rPr>
                <w:rFonts w:hint="eastAsia" w:ascii="Times New Roman" w:hAnsi="Times New Roman" w:eastAsia="宋体" w:cs="Times New Roman"/>
                <w:color w:val="auto"/>
                <w:kern w:val="2"/>
                <w:sz w:val="21"/>
                <w:szCs w:val="21"/>
                <w:lang w:val="en-US" w:eastAsia="zh-CN" w:bidi="ar-SA"/>
              </w:rPr>
            </w:pPr>
          </w:p>
        </w:tc>
        <w:tc>
          <w:tcPr>
            <w:tcW w:w="11172" w:type="dxa"/>
            <w:gridSpan w:val="2"/>
          </w:tcPr>
          <w:p>
            <w:pPr>
              <w:pStyle w:val="10"/>
              <w:rPr>
                <w:rFonts w:hint="eastAsia" w:ascii="宋体" w:hAnsi="宋体"/>
                <w:color w:val="auto"/>
                <w:szCs w:val="21"/>
                <w:lang w:val="en-US" w:eastAsia="zh-CN"/>
              </w:rPr>
            </w:pPr>
            <w:r>
              <w:rPr>
                <w:rFonts w:hint="eastAsia" w:ascii="宋体" w:hAnsi="宋体"/>
                <w:color w:val="auto"/>
                <w:szCs w:val="21"/>
                <w:lang w:val="en-US" w:eastAsia="zh-CN"/>
              </w:rPr>
              <w:t>提供设计开发技术推广资料一份</w:t>
            </w:r>
          </w:p>
          <w:p>
            <w:pPr>
              <w:pStyle w:val="10"/>
              <w:rPr>
                <w:rFonts w:hint="eastAsia" w:asciiTheme="minorEastAsia" w:hAnsiTheme="minorEastAsia" w:eastAsiaTheme="minorEastAsia" w:cstheme="minorEastAsia"/>
                <w:bCs/>
                <w:color w:val="auto"/>
                <w:kern w:val="0"/>
                <w:sz w:val="24"/>
              </w:rPr>
            </w:pPr>
            <w:r>
              <w:rPr>
                <w:rFonts w:hint="eastAsia" w:ascii="宋体" w:hAnsi="宋体"/>
                <w:color w:val="auto"/>
                <w:szCs w:val="21"/>
                <w:lang w:val="en-US" w:eastAsia="zh-CN"/>
              </w:rPr>
              <w:t>项目名称：</w:t>
            </w:r>
            <w:r>
              <w:rPr>
                <w:rFonts w:hint="eastAsia" w:asciiTheme="minorEastAsia" w:hAnsiTheme="minorEastAsia" w:eastAsiaTheme="minorEastAsia" w:cstheme="minorEastAsia"/>
                <w:bCs/>
                <w:color w:val="auto"/>
                <w:kern w:val="0"/>
                <w:sz w:val="24"/>
              </w:rPr>
              <w:t>漏磁内检测器电子测控采集系统开发项目</w:t>
            </w:r>
          </w:p>
          <w:p>
            <w:pPr>
              <w:pStyle w:val="10"/>
              <w:rPr>
                <w:rFonts w:hint="default" w:asciiTheme="minorEastAsia" w:hAnsiTheme="minorEastAsia" w:eastAsiaTheme="minorEastAsia" w:cstheme="minorEastAsia"/>
                <w:bCs/>
                <w:color w:val="auto"/>
                <w:kern w:val="0"/>
                <w:sz w:val="24"/>
                <w:lang w:val="en-US" w:eastAsia="zh-CN"/>
              </w:rPr>
            </w:pPr>
            <w:r>
              <w:rPr>
                <w:rFonts w:hint="default" w:asciiTheme="minorEastAsia" w:hAnsiTheme="minorEastAsia" w:eastAsiaTheme="minorEastAsia" w:cstheme="minorEastAsia"/>
                <w:bCs/>
                <w:color w:val="auto"/>
                <w:kern w:val="0"/>
                <w:sz w:val="24"/>
                <w:lang w:val="en-US" w:eastAsia="zh-CN"/>
              </w:rPr>
              <w:t>设计内容：</w:t>
            </w:r>
          </w:p>
          <w:p>
            <w:pPr>
              <w:pStyle w:val="10"/>
              <w:rPr>
                <w:rFonts w:hint="default" w:asciiTheme="minorEastAsia" w:hAnsiTheme="minorEastAsia" w:eastAsiaTheme="minorEastAsia" w:cstheme="minorEastAsia"/>
                <w:bCs/>
                <w:color w:val="auto"/>
                <w:kern w:val="0"/>
                <w:sz w:val="24"/>
                <w:lang w:val="en-US" w:eastAsia="zh-CN"/>
              </w:rPr>
            </w:pPr>
            <w:r>
              <w:rPr>
                <w:rFonts w:hint="default" w:asciiTheme="minorEastAsia" w:hAnsiTheme="minorEastAsia" w:eastAsiaTheme="minorEastAsia" w:cstheme="minorEastAsia"/>
                <w:bCs/>
                <w:color w:val="auto"/>
                <w:kern w:val="0"/>
                <w:sz w:val="24"/>
                <w:lang w:val="en-US" w:eastAsia="zh-CN"/>
              </w:rPr>
              <w:t>本次共评估2段石油管道(HDPE双壁波纹管)，出具检验报告，指导下一步的管道修复或养护工作。</w:t>
            </w:r>
          </w:p>
          <w:p>
            <w:pPr>
              <w:pStyle w:val="10"/>
              <w:rPr>
                <w:rFonts w:hint="default" w:asciiTheme="minorEastAsia" w:hAnsiTheme="minorEastAsia" w:eastAsiaTheme="minorEastAsia" w:cstheme="minorEastAsia"/>
                <w:bCs/>
                <w:color w:val="auto"/>
                <w:kern w:val="0"/>
                <w:sz w:val="24"/>
                <w:lang w:val="en-US" w:eastAsia="zh-CN"/>
              </w:rPr>
            </w:pPr>
            <w:r>
              <w:rPr>
                <w:rFonts w:hint="eastAsia" w:asciiTheme="minorEastAsia" w:hAnsiTheme="minorEastAsia" w:eastAsiaTheme="minorEastAsia" w:cstheme="minorEastAsia"/>
                <w:bCs/>
                <w:color w:val="auto"/>
                <w:kern w:val="0"/>
                <w:sz w:val="24"/>
                <w:lang w:val="en-US" w:eastAsia="zh-CN"/>
              </w:rPr>
              <w:t>提供有验收报告，过程控制记录</w:t>
            </w:r>
          </w:p>
        </w:tc>
        <w:tc>
          <w:tcPr>
            <w:tcW w:w="760" w:type="dxa"/>
          </w:tcPr>
          <w:p>
            <w:pPr>
              <w:spacing w:line="320" w:lineRule="exact"/>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1707" w:type="dxa"/>
            <w:noWrap w:val="0"/>
            <w:vAlign w:val="center"/>
          </w:tcPr>
          <w:p>
            <w:pPr>
              <w:spacing w:line="360" w:lineRule="exact"/>
              <w:rPr>
                <w:color w:val="auto"/>
                <w:szCs w:val="21"/>
              </w:rPr>
            </w:pPr>
            <w:r>
              <w:rPr>
                <w:rFonts w:hint="eastAsia"/>
                <w:color w:val="auto"/>
                <w:szCs w:val="21"/>
              </w:rPr>
              <w:t>产品和服务的放行</w:t>
            </w:r>
          </w:p>
          <w:p>
            <w:pPr>
              <w:rPr>
                <w:color w:val="auto"/>
              </w:rPr>
            </w:pPr>
          </w:p>
        </w:tc>
        <w:tc>
          <w:tcPr>
            <w:tcW w:w="1070" w:type="dxa"/>
            <w:noWrap w:val="0"/>
            <w:vAlign w:val="center"/>
          </w:tcPr>
          <w:p>
            <w:pPr>
              <w:spacing w:line="360" w:lineRule="exact"/>
              <w:rPr>
                <w:rFonts w:hint="default" w:eastAsia="宋体"/>
                <w:color w:val="auto"/>
                <w:szCs w:val="21"/>
                <w:lang w:val="en-US" w:eastAsia="zh-CN"/>
              </w:rPr>
            </w:pPr>
            <w:r>
              <w:rPr>
                <w:rFonts w:hint="eastAsia"/>
                <w:color w:val="auto"/>
                <w:szCs w:val="21"/>
              </w:rPr>
              <w:t>Q 8.6</w:t>
            </w:r>
            <w:r>
              <w:rPr>
                <w:rFonts w:hint="eastAsia"/>
                <w:color w:val="auto"/>
                <w:szCs w:val="21"/>
                <w:lang w:val="en-US" w:eastAsia="zh-CN"/>
              </w:rPr>
              <w:t>/8.5</w:t>
            </w:r>
            <w:bookmarkStart w:id="0" w:name="_GoBack"/>
            <w:bookmarkEnd w:id="0"/>
          </w:p>
          <w:p>
            <w:pPr>
              <w:rPr>
                <w:color w:val="auto"/>
              </w:rPr>
            </w:pPr>
          </w:p>
        </w:tc>
        <w:tc>
          <w:tcPr>
            <w:tcW w:w="11098" w:type="dxa"/>
            <w:noWrap w:val="0"/>
            <w:vAlign w:val="center"/>
          </w:tcPr>
          <w:p>
            <w:pPr>
              <w:numPr>
                <w:ilvl w:val="0"/>
                <w:numId w:val="1"/>
              </w:numPr>
              <w:spacing w:line="400" w:lineRule="exact"/>
              <w:ind w:right="-153" w:rightChars="-73"/>
              <w:rPr>
                <w:rFonts w:hint="default"/>
                <w:color w:val="auto"/>
                <w:lang w:val="en-US" w:eastAsia="zh-CN"/>
              </w:rPr>
            </w:pPr>
            <w:r>
              <w:rPr>
                <w:rFonts w:hint="eastAsia"/>
                <w:color w:val="auto"/>
                <w:szCs w:val="21"/>
                <w:lang w:val="en-US" w:eastAsia="zh-CN"/>
              </w:rPr>
              <w:t>采购产品的验证：</w:t>
            </w:r>
            <w:r>
              <w:rPr>
                <w:rFonts w:hint="eastAsia"/>
                <w:color w:val="auto"/>
                <w:lang w:val="en-US" w:eastAsia="zh-CN"/>
              </w:rPr>
              <w:t>提供进货检验记录</w:t>
            </w:r>
          </w:p>
          <w:p>
            <w:pPr>
              <w:pStyle w:val="10"/>
              <w:rPr>
                <w:rFonts w:hint="default"/>
                <w:color w:val="auto"/>
                <w:lang w:val="en-US" w:eastAsia="zh-CN"/>
              </w:rPr>
            </w:pPr>
            <w:r>
              <w:rPr>
                <w:rFonts w:hint="eastAsia"/>
                <w:color w:val="auto"/>
                <w:lang w:val="en-US" w:eastAsia="zh-CN"/>
              </w:rPr>
              <w:t>同时提供有电子产品的检测证明：</w:t>
            </w:r>
          </w:p>
          <w:p>
            <w:pPr>
              <w:pStyle w:val="10"/>
              <w:numPr>
                <w:ilvl w:val="0"/>
                <w:numId w:val="1"/>
              </w:numPr>
              <w:ind w:left="0" w:leftChars="0" w:firstLine="0" w:firstLineChars="0"/>
              <w:rPr>
                <w:rFonts w:hint="eastAsia"/>
                <w:color w:val="auto"/>
                <w:lang w:val="en-US" w:eastAsia="zh-CN"/>
              </w:rPr>
            </w:pPr>
            <w:r>
              <w:rPr>
                <w:rFonts w:hint="eastAsia"/>
                <w:color w:val="auto"/>
                <w:lang w:val="en-US" w:eastAsia="zh-CN"/>
              </w:rPr>
              <w:t>过程检验记录，见8.3及8.5.1审核记录</w:t>
            </w:r>
          </w:p>
          <w:p>
            <w:pPr>
              <w:pStyle w:val="10"/>
              <w:numPr>
                <w:ilvl w:val="0"/>
                <w:numId w:val="1"/>
              </w:numPr>
              <w:ind w:left="0" w:leftChars="0" w:firstLine="0" w:firstLineChars="0"/>
              <w:rPr>
                <w:rFonts w:hint="default"/>
                <w:color w:val="auto"/>
                <w:lang w:val="en-US" w:eastAsia="zh-CN"/>
              </w:rPr>
            </w:pPr>
            <w:r>
              <w:rPr>
                <w:rFonts w:hint="eastAsia"/>
                <w:color w:val="auto"/>
                <w:lang w:val="en-US" w:eastAsia="zh-CN"/>
              </w:rPr>
              <w:t>放行记录</w:t>
            </w:r>
          </w:p>
          <w:p>
            <w:pPr>
              <w:pStyle w:val="10"/>
              <w:numPr>
                <w:ilvl w:val="0"/>
                <w:numId w:val="0"/>
              </w:numPr>
              <w:ind w:leftChars="0"/>
              <w:rPr>
                <w:color w:val="auto"/>
              </w:rPr>
            </w:pPr>
            <w:r>
              <w:rPr>
                <w:color w:val="auto"/>
                <w:sz w:val="20"/>
              </w:rPr>
              <w:t>石油管道检测的技术推广服务</w:t>
            </w:r>
            <w:r>
              <w:rPr>
                <w:rFonts w:hint="eastAsia"/>
                <w:color w:val="auto"/>
                <w:sz w:val="20"/>
                <w:lang w:val="en-US" w:eastAsia="zh-CN"/>
              </w:rPr>
              <w:t>提供有验收报告，</w:t>
            </w:r>
          </w:p>
          <w:p>
            <w:pPr>
              <w:pStyle w:val="10"/>
              <w:numPr>
                <w:ilvl w:val="0"/>
                <w:numId w:val="0"/>
              </w:numPr>
              <w:ind w:leftChars="0"/>
              <w:rPr>
                <w:rFonts w:hint="eastAsia"/>
                <w:color w:val="auto"/>
                <w:sz w:val="20"/>
                <w:lang w:val="en-US" w:eastAsia="zh-CN"/>
              </w:rPr>
            </w:pPr>
            <w:r>
              <w:rPr>
                <w:color w:val="auto"/>
                <w:sz w:val="20"/>
              </w:rPr>
              <w:t>电子产品、仪器仪表的销售</w:t>
            </w:r>
            <w:r>
              <w:rPr>
                <w:rFonts w:hint="eastAsia"/>
                <w:color w:val="auto"/>
                <w:sz w:val="20"/>
                <w:lang w:val="en-US" w:eastAsia="zh-CN"/>
              </w:rPr>
              <w:t>放行，提供有销售出库单</w:t>
            </w:r>
          </w:p>
          <w:p>
            <w:pPr>
              <w:pStyle w:val="10"/>
              <w:numPr>
                <w:ilvl w:val="0"/>
                <w:numId w:val="0"/>
              </w:numPr>
              <w:ind w:leftChars="0"/>
              <w:rPr>
                <w:rFonts w:hint="default"/>
                <w:color w:val="auto"/>
                <w:sz w:val="20"/>
                <w:lang w:val="en-US" w:eastAsia="zh-CN"/>
              </w:rPr>
            </w:pPr>
          </w:p>
          <w:p>
            <w:pPr>
              <w:pStyle w:val="10"/>
              <w:rPr>
                <w:rFonts w:hint="eastAsia"/>
                <w:color w:val="auto"/>
              </w:rPr>
            </w:pPr>
          </w:p>
        </w:tc>
        <w:tc>
          <w:tcPr>
            <w:tcW w:w="834" w:type="dxa"/>
            <w:gridSpan w:val="2"/>
            <w:noWrap w:val="0"/>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1707" w:type="dxa"/>
          </w:tcPr>
          <w:p>
            <w:pPr>
              <w:spacing w:line="380" w:lineRule="exact"/>
              <w:rPr>
                <w:rFonts w:ascii="宋体" w:hAnsi="宋体" w:cs="宋体"/>
                <w:color w:val="auto"/>
                <w:szCs w:val="21"/>
              </w:rPr>
            </w:pPr>
            <w:r>
              <w:rPr>
                <w:rFonts w:hint="eastAsia"/>
                <w:color w:val="auto"/>
                <w:szCs w:val="21"/>
              </w:rPr>
              <w:t>不合格控制</w:t>
            </w:r>
          </w:p>
        </w:tc>
        <w:tc>
          <w:tcPr>
            <w:tcW w:w="1070" w:type="dxa"/>
          </w:tcPr>
          <w:p>
            <w:pPr>
              <w:spacing w:line="380" w:lineRule="exact"/>
              <w:rPr>
                <w:rFonts w:ascii="宋体" w:hAnsi="宋体" w:cs="宋体"/>
                <w:color w:val="auto"/>
                <w:szCs w:val="21"/>
              </w:rPr>
            </w:pPr>
            <w:r>
              <w:rPr>
                <w:rFonts w:hint="eastAsia" w:ascii="宋体" w:hAnsi="宋体" w:cs="Arial"/>
                <w:color w:val="auto"/>
                <w:szCs w:val="21"/>
              </w:rPr>
              <w:t>Q8.7</w:t>
            </w:r>
          </w:p>
        </w:tc>
        <w:tc>
          <w:tcPr>
            <w:tcW w:w="11172" w:type="dxa"/>
            <w:gridSpan w:val="2"/>
          </w:tcPr>
          <w:p>
            <w:pPr>
              <w:spacing w:line="360" w:lineRule="auto"/>
              <w:ind w:left="397"/>
              <w:rPr>
                <w:color w:val="auto"/>
              </w:rPr>
            </w:pPr>
            <w:r>
              <w:rPr>
                <w:rFonts w:hint="eastAsia"/>
                <w:color w:val="auto"/>
              </w:rPr>
              <w:t>公司执行《不合格品控制程序》对不合格品和不合格服务进行识别和控制。</w:t>
            </w:r>
          </w:p>
          <w:p>
            <w:pPr>
              <w:spacing w:line="360" w:lineRule="auto"/>
              <w:ind w:firstLine="420" w:firstLineChars="200"/>
              <w:rPr>
                <w:color w:val="auto"/>
              </w:rPr>
            </w:pPr>
            <w:r>
              <w:rPr>
                <w:rFonts w:hint="eastAsia"/>
                <w:color w:val="auto"/>
              </w:rPr>
              <w:t>查《不合格服务处置单》，负责人讲：通过顾客满意度调查和平时的监督检查，未发生顾客投诉。</w:t>
            </w:r>
          </w:p>
          <w:p>
            <w:pPr>
              <w:ind w:firstLine="420" w:firstLineChars="200"/>
              <w:rPr>
                <w:rFonts w:hint="eastAsia"/>
                <w:color w:val="auto"/>
              </w:rPr>
            </w:pPr>
            <w:r>
              <w:rPr>
                <w:rFonts w:hint="eastAsia"/>
                <w:color w:val="auto"/>
              </w:rPr>
              <w:t xml:space="preserve">最终交付给顾客的服务未发生不合格。 </w:t>
            </w:r>
          </w:p>
          <w:p>
            <w:pPr>
              <w:spacing w:line="380" w:lineRule="exact"/>
              <w:ind w:firstLine="420" w:firstLineChars="200"/>
              <w:rPr>
                <w:rFonts w:hint="eastAsia"/>
                <w:color w:val="auto"/>
              </w:rPr>
            </w:pPr>
          </w:p>
          <w:p>
            <w:pPr>
              <w:spacing w:line="380" w:lineRule="exact"/>
              <w:ind w:firstLine="420" w:firstLineChars="200"/>
              <w:rPr>
                <w:color w:val="auto"/>
              </w:rPr>
            </w:pPr>
          </w:p>
        </w:tc>
        <w:tc>
          <w:tcPr>
            <w:tcW w:w="760" w:type="dxa"/>
          </w:tcPr>
          <w:p>
            <w:pPr>
              <w:spacing w:line="320" w:lineRule="exact"/>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1707" w:type="dxa"/>
          </w:tcPr>
          <w:p>
            <w:pPr>
              <w:spacing w:line="380" w:lineRule="exact"/>
              <w:rPr>
                <w:rFonts w:ascii="宋体" w:hAnsi="宋体" w:cs="宋体"/>
                <w:color w:val="auto"/>
                <w:szCs w:val="21"/>
              </w:rPr>
            </w:pPr>
            <w:r>
              <w:rPr>
                <w:rFonts w:hint="eastAsia"/>
                <w:bCs/>
                <w:color w:val="auto"/>
                <w:szCs w:val="21"/>
              </w:rPr>
              <w:t>运行控制</w:t>
            </w:r>
          </w:p>
        </w:tc>
        <w:tc>
          <w:tcPr>
            <w:tcW w:w="1070" w:type="dxa"/>
          </w:tcPr>
          <w:p>
            <w:pPr>
              <w:rPr>
                <w:rFonts w:hint="eastAsia"/>
                <w:color w:val="auto"/>
                <w:szCs w:val="21"/>
              </w:rPr>
            </w:pPr>
            <w:r>
              <w:rPr>
                <w:rFonts w:hint="eastAsia"/>
                <w:color w:val="auto"/>
                <w:szCs w:val="21"/>
              </w:rPr>
              <w:t>E</w:t>
            </w:r>
            <w:r>
              <w:rPr>
                <w:rFonts w:hint="eastAsia"/>
                <w:color w:val="auto"/>
                <w:szCs w:val="21"/>
                <w:lang w:val="en-US" w:eastAsia="zh-CN"/>
              </w:rPr>
              <w:t>S</w:t>
            </w:r>
            <w:r>
              <w:rPr>
                <w:rFonts w:hint="eastAsia"/>
                <w:color w:val="auto"/>
                <w:szCs w:val="21"/>
              </w:rPr>
              <w:t>8.1</w:t>
            </w:r>
          </w:p>
          <w:p>
            <w:pPr>
              <w:spacing w:line="380" w:lineRule="exact"/>
              <w:rPr>
                <w:rFonts w:ascii="宋体" w:hAnsi="宋体" w:cs="宋体"/>
                <w:color w:val="auto"/>
                <w:szCs w:val="21"/>
              </w:rPr>
            </w:pPr>
          </w:p>
        </w:tc>
        <w:tc>
          <w:tcPr>
            <w:tcW w:w="11172" w:type="dxa"/>
            <w:gridSpan w:val="2"/>
          </w:tcPr>
          <w:p>
            <w:pPr>
              <w:ind w:firstLine="420" w:firstLineChars="200"/>
              <w:rPr>
                <w:szCs w:val="21"/>
              </w:rPr>
            </w:pPr>
            <w:r>
              <w:rPr>
                <w:rFonts w:hint="eastAsia"/>
                <w:szCs w:val="21"/>
              </w:rPr>
              <w:t>本部门涉及员工体检、车辆管理规定、消防器材检查等主要环境因素及危险源的运行控制及监督工作。</w:t>
            </w:r>
          </w:p>
          <w:p>
            <w:pPr>
              <w:ind w:firstLine="420" w:firstLineChars="200"/>
              <w:rPr>
                <w:szCs w:val="21"/>
              </w:rPr>
            </w:pPr>
            <w:r>
              <w:rPr>
                <w:rFonts w:hint="eastAsia"/>
                <w:szCs w:val="21"/>
              </w:rPr>
              <w:t>运行控制情况：定期检查电源线老化情况、火灾隐患、疫情期间员工PPE；办公区域内配置的灭火器,在有效期内。</w:t>
            </w:r>
          </w:p>
          <w:p>
            <w:pPr>
              <w:ind w:firstLine="420" w:firstLineChars="200"/>
              <w:rPr>
                <w:szCs w:val="21"/>
              </w:rPr>
            </w:pPr>
            <w:r>
              <w:rPr>
                <w:rFonts w:hint="eastAsia"/>
                <w:szCs w:val="21"/>
              </w:rPr>
              <w:t>查运行控制情况：</w:t>
            </w:r>
          </w:p>
          <w:p>
            <w:pPr>
              <w:ind w:firstLine="420" w:firstLineChars="200"/>
              <w:rPr>
                <w:szCs w:val="21"/>
              </w:rPr>
            </w:pPr>
            <w:r>
              <w:rPr>
                <w:rFonts w:hint="eastAsia"/>
                <w:szCs w:val="21"/>
              </w:rPr>
              <w:t>办公过程使用的电器如：空调、电脑、灯具均符合安全设计要求，使用过程注意安全，预防触电结火灾隐患排查，工作时间平均每天8小时；</w:t>
            </w:r>
          </w:p>
          <w:p>
            <w:pPr>
              <w:ind w:firstLine="420" w:firstLineChars="200"/>
              <w:rPr>
                <w:szCs w:val="21"/>
              </w:rPr>
            </w:pPr>
            <w:r>
              <w:rPr>
                <w:rFonts w:hint="eastAsia"/>
                <w:szCs w:val="21"/>
              </w:rPr>
              <w:t>办公用品按要求由综合部负责发放，作好记录；</w:t>
            </w:r>
          </w:p>
          <w:p>
            <w:pPr>
              <w:ind w:firstLine="420" w:firstLineChars="200"/>
              <w:rPr>
                <w:szCs w:val="21"/>
              </w:rPr>
            </w:pPr>
            <w:r>
              <w:rPr>
                <w:rFonts w:hint="eastAsia"/>
                <w:szCs w:val="21"/>
              </w:rPr>
              <w:t>相关方施加影响：公司能够控制或能够施加影响的相关方有周边商户、固体废弃物处理等。提供了“致相关方的公开信”，督促影响各相关方按照职业健康管理体系要求对相关方施加职业健康影响。</w:t>
            </w:r>
          </w:p>
          <w:p>
            <w:pPr>
              <w:ind w:firstLine="420" w:firstLineChars="200"/>
              <w:rPr>
                <w:szCs w:val="21"/>
              </w:rPr>
            </w:pPr>
            <w:r>
              <w:rPr>
                <w:rFonts w:hint="eastAsia"/>
                <w:szCs w:val="21"/>
              </w:rPr>
              <w:t>产品生命周期实施策划，明确说明产品在整个生命周期中涉及的主要环境因素，环境因素的控制过程贯穿整个过程的生命周期</w:t>
            </w:r>
          </w:p>
          <w:p>
            <w:pPr>
              <w:rPr>
                <w:rFonts w:hint="eastAsia" w:ascii="宋体" w:hAnsi="宋体"/>
                <w:b w:val="0"/>
                <w:bCs w:val="0"/>
                <w:szCs w:val="21"/>
              </w:rPr>
            </w:pPr>
            <w:r>
              <w:rPr>
                <w:rFonts w:hint="eastAsia"/>
              </w:rPr>
              <w:t>废水</w:t>
            </w:r>
            <w:r>
              <w:rPr>
                <w:rFonts w:hint="eastAsia"/>
                <w:lang w:val="en-US" w:eastAsia="zh-CN"/>
              </w:rPr>
              <w:t>管控：</w:t>
            </w:r>
            <w:r>
              <w:rPr>
                <w:rFonts w:hint="eastAsia"/>
              </w:rPr>
              <w:t>公司</w:t>
            </w:r>
            <w:r>
              <w:rPr>
                <w:rFonts w:hint="eastAsia"/>
                <w:b w:val="0"/>
                <w:bCs w:val="0"/>
              </w:rPr>
              <w:t>的</w:t>
            </w:r>
            <w:r>
              <w:rPr>
                <w:rFonts w:hint="eastAsia" w:ascii="宋体" w:hAnsi="宋体"/>
                <w:b w:val="0"/>
                <w:bCs w:val="0"/>
                <w:szCs w:val="21"/>
              </w:rPr>
              <w:t>的</w:t>
            </w:r>
            <w:r>
              <w:rPr>
                <w:rFonts w:hint="eastAsia" w:ascii="宋体" w:hAnsi="宋体"/>
                <w:b w:val="0"/>
                <w:bCs w:val="0"/>
                <w:szCs w:val="21"/>
                <w:lang w:eastAsia="zh-CN"/>
              </w:rPr>
              <w:t>技术</w:t>
            </w:r>
            <w:r>
              <w:rPr>
                <w:rFonts w:hint="eastAsia" w:ascii="宋体" w:hAnsi="宋体"/>
                <w:b w:val="0"/>
                <w:bCs w:val="0"/>
                <w:szCs w:val="21"/>
              </w:rPr>
              <w:t>管理</w:t>
            </w:r>
            <w:r>
              <w:rPr>
                <w:rFonts w:hint="eastAsia" w:ascii="宋体" w:hAnsi="宋体"/>
                <w:b w:val="0"/>
                <w:bCs w:val="0"/>
              </w:rPr>
              <w:t>不产生废水，办公用水最后排入市政管网。</w:t>
            </w:r>
          </w:p>
          <w:p>
            <w:pPr>
              <w:pStyle w:val="10"/>
              <w:rPr>
                <w:rFonts w:hint="eastAsia" w:ascii="宋体" w:hAnsi="宋体"/>
                <w:b w:val="0"/>
                <w:bCs w:val="0"/>
                <w:szCs w:val="21"/>
              </w:rPr>
            </w:pPr>
            <w:r>
              <w:rPr>
                <w:rFonts w:hint="eastAsia" w:ascii="宋体" w:hAnsi="宋体"/>
                <w:b w:val="0"/>
                <w:bCs w:val="0"/>
              </w:rPr>
              <w:t>废气</w:t>
            </w:r>
            <w:r>
              <w:rPr>
                <w:rFonts w:hint="eastAsia" w:ascii="宋体" w:hAnsi="宋体"/>
                <w:b w:val="0"/>
                <w:bCs w:val="0"/>
                <w:lang w:val="en-US" w:eastAsia="zh-CN"/>
              </w:rPr>
              <w:t>管控：</w:t>
            </w:r>
            <w:r>
              <w:rPr>
                <w:rFonts w:hint="eastAsia" w:ascii="宋体" w:hAnsi="宋体"/>
                <w:b w:val="0"/>
                <w:bCs w:val="0"/>
                <w:szCs w:val="21"/>
                <w:lang w:val="en-US" w:eastAsia="zh-CN"/>
              </w:rPr>
              <w:t>办公及业务</w:t>
            </w:r>
            <w:r>
              <w:rPr>
                <w:rFonts w:hint="eastAsia" w:ascii="宋体" w:hAnsi="宋体"/>
                <w:b w:val="0"/>
                <w:bCs w:val="0"/>
                <w:szCs w:val="21"/>
              </w:rPr>
              <w:t>管理</w:t>
            </w:r>
            <w:r>
              <w:rPr>
                <w:rFonts w:hint="eastAsia" w:ascii="宋体" w:hAnsi="宋体"/>
                <w:b w:val="0"/>
                <w:bCs w:val="0"/>
              </w:rPr>
              <w:t>不产生废气，公司清扫地面及临时场所服务时，有少量的灰尘产生，公司发口罩，对员工进行个体防护</w:t>
            </w:r>
          </w:p>
          <w:p>
            <w:pPr>
              <w:pStyle w:val="10"/>
              <w:numPr>
                <w:ilvl w:val="0"/>
                <w:numId w:val="0"/>
              </w:numPr>
              <w:rPr>
                <w:rFonts w:hint="eastAsia" w:ascii="宋体" w:hAnsi="宋体"/>
                <w:b w:val="0"/>
                <w:bCs w:val="0"/>
                <w:szCs w:val="21"/>
              </w:rPr>
            </w:pPr>
            <w:r>
              <w:rPr>
                <w:rFonts w:hint="eastAsia" w:ascii="宋体" w:hAnsi="宋体"/>
                <w:b w:val="0"/>
                <w:bCs w:val="0"/>
              </w:rPr>
              <w:t>固废</w:t>
            </w:r>
            <w:r>
              <w:rPr>
                <w:rFonts w:hint="eastAsia" w:ascii="宋体" w:hAnsi="宋体"/>
                <w:b w:val="0"/>
                <w:bCs w:val="0"/>
                <w:lang w:val="en-US" w:eastAsia="zh-CN"/>
              </w:rPr>
              <w:t>管控：</w:t>
            </w:r>
            <w:r>
              <w:rPr>
                <w:rFonts w:hint="eastAsia" w:ascii="宋体" w:hAnsi="宋体"/>
                <w:b w:val="0"/>
                <w:bCs w:val="0"/>
                <w:szCs w:val="21"/>
                <w:lang w:val="en-US" w:eastAsia="zh-CN"/>
              </w:rPr>
              <w:t>办公</w:t>
            </w:r>
            <w:r>
              <w:rPr>
                <w:rFonts w:hint="eastAsia" w:ascii="宋体" w:hAnsi="宋体"/>
                <w:b w:val="0"/>
                <w:bCs w:val="0"/>
              </w:rPr>
              <w:t>过程中会产生废气的纸屑、果皮等垃圾，统一交环卫进行收集处理。</w:t>
            </w:r>
          </w:p>
          <w:p>
            <w:pPr>
              <w:pStyle w:val="10"/>
              <w:rPr>
                <w:rFonts w:hint="eastAsia" w:ascii="宋体" w:hAnsi="宋体"/>
                <w:b w:val="0"/>
                <w:bCs w:val="0"/>
              </w:rPr>
            </w:pPr>
            <w:r>
              <w:rPr>
                <w:rFonts w:hint="eastAsia" w:ascii="宋体" w:hAnsi="宋体"/>
                <w:b w:val="0"/>
                <w:bCs w:val="0"/>
              </w:rPr>
              <w:t>办公墨盒、电池等由厂家回收</w:t>
            </w:r>
          </w:p>
          <w:p>
            <w:pPr>
              <w:pStyle w:val="10"/>
              <w:rPr>
                <w:rFonts w:hint="eastAsia" w:cs="Lucida Sans"/>
                <w:bCs/>
              </w:rPr>
            </w:pPr>
            <w:r>
              <w:rPr>
                <w:rFonts w:hint="eastAsia" w:cs="Lucida Sans"/>
                <w:bCs/>
              </w:rPr>
              <w:t>能资源管理</w:t>
            </w:r>
            <w:r>
              <w:rPr>
                <w:rFonts w:hint="eastAsia" w:cs="Lucida Sans"/>
                <w:bCs/>
                <w:lang w:val="en-US" w:eastAsia="zh-CN"/>
              </w:rPr>
              <w:t>管控</w:t>
            </w:r>
            <w:r>
              <w:rPr>
                <w:rFonts w:hint="eastAsia" w:cs="Lucida Sans"/>
                <w:bCs/>
              </w:rPr>
              <w:t>：公司规定人走灯灭，人走关水等节能节水措施，并互相监督</w:t>
            </w:r>
          </w:p>
          <w:p>
            <w:r>
              <w:rPr>
                <w:rFonts w:hint="eastAsia"/>
              </w:rPr>
              <w:t>办公区域</w:t>
            </w:r>
            <w:r>
              <w:rPr>
                <w:rFonts w:hint="eastAsia"/>
                <w:lang w:val="en-US" w:eastAsia="zh-CN"/>
              </w:rPr>
              <w:t>观察</w:t>
            </w:r>
            <w:r>
              <w:rPr>
                <w:rFonts w:hint="eastAsia"/>
              </w:rPr>
              <w:t>:，现场查看办公区域环境整洁、宽敞、办公设备状态良好、工作时间平均每天不超过8小时。</w:t>
            </w:r>
          </w:p>
          <w:p>
            <w:pPr>
              <w:rPr>
                <w:rFonts w:hint="eastAsia"/>
              </w:rPr>
            </w:pPr>
            <w:r>
              <w:rPr>
                <w:rFonts w:hint="eastAsia"/>
              </w:rPr>
              <w:t>现场查看办公区域，整洁、光线充足、室内空气良好、配置有空调，办公条件较好，办公设备安全状态良好，教育员工正确使用办公设备，现场用电基本规范，无乱拉线现象，防止火灾发生。</w:t>
            </w:r>
          </w:p>
          <w:p>
            <w:pPr>
              <w:rPr>
                <w:rFonts w:hint="eastAsia"/>
              </w:rPr>
            </w:pPr>
            <w:r>
              <w:rPr>
                <w:rFonts w:hint="eastAsia"/>
                <w:lang w:val="en-US" w:eastAsia="zh-CN"/>
              </w:rPr>
              <w:t>其他方面：</w:t>
            </w:r>
            <w:r>
              <w:rPr>
                <w:rFonts w:hint="eastAsia"/>
              </w:rPr>
              <w:t>驾驶员要求遵守道路交通安全法规，不违章驾车，驾驶证和车辆定期年审，确保行车安全。</w:t>
            </w:r>
          </w:p>
          <w:p>
            <w:pPr>
              <w:pStyle w:val="10"/>
              <w:rPr>
                <w:rFonts w:hint="default" w:eastAsia="宋体"/>
                <w:color w:val="auto"/>
                <w:lang w:val="en-US" w:eastAsia="zh-CN"/>
              </w:rPr>
            </w:pPr>
            <w:r>
              <w:rPr>
                <w:rFonts w:hint="eastAsia"/>
                <w:color w:val="auto"/>
                <w:lang w:val="en-US" w:eastAsia="zh-CN"/>
              </w:rPr>
              <w:t>公司给员工每年进行体检，见到体检报告，给员工上社保，见到社保缴费记录</w:t>
            </w:r>
          </w:p>
          <w:p>
            <w:pPr>
              <w:rPr>
                <w:rFonts w:hint="eastAsia"/>
                <w:color w:val="auto"/>
                <w:lang w:val="en-US" w:eastAsia="zh-CN"/>
              </w:rPr>
            </w:pPr>
            <w:r>
              <w:rPr>
                <w:rFonts w:hint="eastAsia"/>
                <w:color w:val="auto"/>
                <w:lang w:val="en-US" w:eastAsia="zh-CN"/>
              </w:rPr>
              <w:t>火灾控制:（1）公司办公区域配置有相应数量的灭火器和消防栓，经常检查灭火器材的状况，消防水龙头是否正常，灭火器压力是否足够等。发现问题立即解决，并做好记录;（2）经常检查，及时发现火险隐患并作出正确处理。</w:t>
            </w:r>
          </w:p>
          <w:p>
            <w:pPr>
              <w:rPr>
                <w:rFonts w:hint="eastAsia"/>
                <w:color w:val="auto"/>
                <w:lang w:val="en-US" w:eastAsia="zh-CN"/>
              </w:rPr>
            </w:pPr>
            <w:r>
              <w:rPr>
                <w:rFonts w:hint="eastAsia"/>
                <w:color w:val="auto"/>
                <w:lang w:val="en-US" w:eastAsia="zh-CN"/>
              </w:rPr>
              <w:t>随时检查清理办公场所管理现场，可燃物不随意堆积，如有堆积必须配备相应的灭火器材;;</w:t>
            </w:r>
          </w:p>
          <w:p>
            <w:pPr>
              <w:numPr>
                <w:ilvl w:val="0"/>
                <w:numId w:val="0"/>
              </w:numPr>
              <w:ind w:leftChars="0"/>
              <w:rPr>
                <w:rFonts w:hint="eastAsia" w:ascii="Times New Roman" w:hAnsi="Times New Roman" w:eastAsia="宋体" w:cs="Lucida Sans"/>
                <w:b w:val="0"/>
                <w:bCs/>
                <w:color w:val="auto"/>
                <w:szCs w:val="20"/>
              </w:rPr>
            </w:pPr>
            <w:r>
              <w:rPr>
                <w:rFonts w:hint="eastAsia" w:cs="Lucida Sans"/>
                <w:b w:val="0"/>
                <w:bCs/>
                <w:color w:val="auto"/>
                <w:szCs w:val="20"/>
                <w:lang w:val="en-US" w:eastAsia="zh-CN"/>
              </w:rPr>
              <w:t>触电管理：随时对电气线路进行检查，防止因短路、过载和接触电阻过大等原因产生电火花或引起电线电缆温度过高而引发火灾。同时电动机机壳必须装有良好的接地保护;</w:t>
            </w:r>
          </w:p>
          <w:p>
            <w:pPr>
              <w:pStyle w:val="10"/>
              <w:rPr>
                <w:rFonts w:hint="eastAsia"/>
                <w:color w:val="auto"/>
                <w:lang w:val="en-US" w:eastAsia="zh-CN"/>
              </w:rPr>
            </w:pPr>
            <w:r>
              <w:rPr>
                <w:rFonts w:hint="eastAsia"/>
                <w:color w:val="auto"/>
                <w:lang w:val="en-US" w:eastAsia="zh-CN"/>
              </w:rPr>
              <w:t>意外伤害控制：工作时间不吸烟喝酒、不酒后驾车等，对员工开展安全教育</w:t>
            </w:r>
          </w:p>
          <w:p>
            <w:pPr>
              <w:rPr>
                <w:szCs w:val="21"/>
              </w:rPr>
            </w:pPr>
            <w:r>
              <w:rPr>
                <w:rFonts w:hint="eastAsia"/>
                <w:szCs w:val="21"/>
              </w:rPr>
              <w:t>为销售人员上人身意外险</w:t>
            </w:r>
          </w:p>
          <w:p>
            <w:pPr>
              <w:ind w:firstLine="420" w:firstLineChars="200"/>
              <w:rPr>
                <w:szCs w:val="21"/>
              </w:rPr>
            </w:pPr>
            <w:r>
              <w:rPr>
                <w:rFonts w:hint="eastAsia"/>
                <w:szCs w:val="21"/>
              </w:rPr>
              <w:t>查到公司为员工缴纳了养老、工伤、医疗等保险。</w:t>
            </w:r>
          </w:p>
          <w:p>
            <w:pPr>
              <w:ind w:firstLine="420" w:firstLineChars="200"/>
              <w:rPr>
                <w:szCs w:val="21"/>
              </w:rPr>
            </w:pPr>
            <w:r>
              <w:rPr>
                <w:rFonts w:hint="eastAsia"/>
                <w:szCs w:val="21"/>
              </w:rPr>
              <w:t>提供了缴纳保险的票据及社会保险在职人员信息统计表。</w:t>
            </w:r>
          </w:p>
          <w:p>
            <w:pPr>
              <w:ind w:firstLine="420" w:firstLineChars="200"/>
              <w:rPr>
                <w:szCs w:val="21"/>
              </w:rPr>
            </w:pPr>
            <w:r>
              <w:rPr>
                <w:rFonts w:hint="eastAsia"/>
                <w:szCs w:val="21"/>
              </w:rPr>
              <w:t>驾驶员要求遵守道路交通安全法，不违章驾车，驾驶证和车辆定期年审，确保行车安全。</w:t>
            </w:r>
          </w:p>
          <w:p>
            <w:pPr>
              <w:ind w:firstLine="420" w:firstLineChars="200"/>
              <w:rPr>
                <w:szCs w:val="21"/>
              </w:rPr>
            </w:pPr>
            <w:r>
              <w:rPr>
                <w:rFonts w:hint="eastAsia"/>
                <w:szCs w:val="21"/>
              </w:rPr>
              <w:t xml:space="preserve">公司无食堂  </w:t>
            </w:r>
          </w:p>
          <w:p>
            <w:pPr>
              <w:spacing w:line="380" w:lineRule="exact"/>
              <w:ind w:firstLine="421"/>
              <w:rPr>
                <w:rFonts w:hint="default" w:eastAsia="宋体"/>
                <w:color w:val="auto"/>
                <w:szCs w:val="21"/>
                <w:lang w:val="en-US" w:eastAsia="zh-CN"/>
              </w:rPr>
            </w:pPr>
            <w:r>
              <w:rPr>
                <w:rFonts w:hint="eastAsia"/>
                <w:color w:val="auto"/>
                <w:szCs w:val="21"/>
                <w:lang w:val="en-US" w:eastAsia="zh-CN"/>
              </w:rPr>
              <w:t>环境、职业健康安全运行符合要求</w:t>
            </w:r>
          </w:p>
        </w:tc>
        <w:tc>
          <w:tcPr>
            <w:tcW w:w="760" w:type="dxa"/>
          </w:tcPr>
          <w:p>
            <w:pPr>
              <w:spacing w:line="320" w:lineRule="exact"/>
              <w:rPr>
                <w:rFonts w:ascii="宋体" w:hAnsi="宋体" w:cs="宋体"/>
                <w:color w:val="auto"/>
                <w:szCs w:val="21"/>
              </w:rPr>
            </w:pPr>
          </w:p>
          <w:p>
            <w:pPr>
              <w:spacing w:line="320" w:lineRule="exact"/>
              <w:rPr>
                <w:rFonts w:ascii="宋体" w:hAnsi="宋体" w:cs="宋体"/>
                <w:color w:val="auto"/>
                <w:szCs w:val="21"/>
              </w:rPr>
            </w:pPr>
          </w:p>
          <w:p>
            <w:pPr>
              <w:spacing w:line="320" w:lineRule="exact"/>
              <w:rPr>
                <w:rFonts w:ascii="宋体" w:hAnsi="宋体" w:cs="宋体"/>
                <w:color w:val="auto"/>
                <w:szCs w:val="21"/>
              </w:rPr>
            </w:pPr>
          </w:p>
          <w:p>
            <w:pPr>
              <w:spacing w:line="320" w:lineRule="exact"/>
              <w:rPr>
                <w:rFonts w:ascii="宋体" w:hAnsi="宋体" w:cs="宋体"/>
                <w:color w:val="auto"/>
                <w:szCs w:val="21"/>
              </w:rPr>
            </w:pPr>
          </w:p>
          <w:p>
            <w:pPr>
              <w:spacing w:line="320" w:lineRule="exact"/>
              <w:rPr>
                <w:rFonts w:ascii="宋体" w:hAnsi="宋体" w:cs="宋体"/>
                <w:color w:val="auto"/>
                <w:szCs w:val="21"/>
              </w:rPr>
            </w:pPr>
          </w:p>
          <w:p>
            <w:pPr>
              <w:spacing w:line="320" w:lineRule="exact"/>
              <w:rPr>
                <w:rFonts w:ascii="宋体" w:hAnsi="宋体" w:cs="宋体"/>
                <w:color w:val="auto"/>
                <w:szCs w:val="21"/>
              </w:rPr>
            </w:pPr>
          </w:p>
          <w:p>
            <w:pPr>
              <w:spacing w:line="320" w:lineRule="exact"/>
              <w:rPr>
                <w:rFonts w:ascii="宋体" w:hAnsi="宋体" w:cs="宋体"/>
                <w:color w:val="auto"/>
                <w:szCs w:val="21"/>
              </w:rPr>
            </w:pPr>
          </w:p>
          <w:p>
            <w:pPr>
              <w:spacing w:line="320" w:lineRule="exact"/>
              <w:rPr>
                <w:rFonts w:ascii="宋体" w:hAnsi="宋体" w:cs="宋体"/>
                <w:color w:val="auto"/>
                <w:szCs w:val="21"/>
              </w:rPr>
            </w:pPr>
          </w:p>
          <w:p>
            <w:pPr>
              <w:spacing w:line="320" w:lineRule="exact"/>
              <w:rPr>
                <w:rFonts w:ascii="宋体" w:hAnsi="宋体" w:cs="宋体"/>
                <w:color w:val="auto"/>
                <w:szCs w:val="21"/>
              </w:rPr>
            </w:pPr>
          </w:p>
          <w:p>
            <w:pPr>
              <w:spacing w:line="320" w:lineRule="exact"/>
              <w:rPr>
                <w:rFonts w:ascii="宋体" w:hAnsi="宋体" w:cs="宋体"/>
                <w:color w:val="auto"/>
                <w:szCs w:val="21"/>
              </w:rPr>
            </w:pPr>
          </w:p>
          <w:p>
            <w:pPr>
              <w:spacing w:line="320" w:lineRule="exact"/>
              <w:rPr>
                <w:rFonts w:ascii="宋体" w:hAnsi="宋体" w:cs="宋体"/>
                <w:color w:val="auto"/>
                <w:szCs w:val="21"/>
              </w:rPr>
            </w:pPr>
          </w:p>
          <w:p>
            <w:pPr>
              <w:spacing w:line="320" w:lineRule="exact"/>
              <w:rPr>
                <w:rFonts w:ascii="宋体" w:hAnsi="宋体" w:cs="宋体"/>
                <w:color w:val="auto"/>
                <w:szCs w:val="21"/>
              </w:rPr>
            </w:pPr>
          </w:p>
          <w:p>
            <w:pPr>
              <w:spacing w:line="320" w:lineRule="exact"/>
              <w:rPr>
                <w:rFonts w:ascii="宋体" w:hAnsi="宋体" w:cs="宋体"/>
                <w:color w:val="auto"/>
                <w:szCs w:val="21"/>
              </w:rPr>
            </w:pPr>
          </w:p>
          <w:p>
            <w:pPr>
              <w:spacing w:line="320" w:lineRule="exact"/>
              <w:rPr>
                <w:rFonts w:ascii="宋体" w:hAnsi="宋体" w:cs="宋体"/>
                <w:color w:val="auto"/>
                <w:szCs w:val="21"/>
              </w:rPr>
            </w:pPr>
          </w:p>
          <w:p>
            <w:pPr>
              <w:spacing w:line="320" w:lineRule="exact"/>
              <w:rPr>
                <w:rFonts w:ascii="宋体" w:hAnsi="宋体" w:cs="宋体"/>
                <w:color w:val="auto"/>
                <w:szCs w:val="21"/>
              </w:rPr>
            </w:pPr>
          </w:p>
          <w:p>
            <w:pPr>
              <w:spacing w:line="320" w:lineRule="exact"/>
              <w:rPr>
                <w:rFonts w:ascii="宋体" w:hAnsi="宋体" w:cs="宋体"/>
                <w:color w:val="auto"/>
                <w:szCs w:val="21"/>
              </w:rPr>
            </w:pPr>
          </w:p>
          <w:p>
            <w:pPr>
              <w:spacing w:line="320" w:lineRule="exact"/>
              <w:rPr>
                <w:rFonts w:ascii="宋体" w:hAnsi="宋体" w:cs="宋体"/>
                <w:color w:val="auto"/>
                <w:szCs w:val="21"/>
              </w:rPr>
            </w:pPr>
          </w:p>
          <w:p>
            <w:pPr>
              <w:spacing w:line="320" w:lineRule="exact"/>
              <w:rPr>
                <w:rFonts w:ascii="宋体" w:hAnsi="宋体" w:cs="宋体"/>
                <w:color w:val="auto"/>
                <w:szCs w:val="21"/>
              </w:rPr>
            </w:pPr>
          </w:p>
          <w:p>
            <w:pPr>
              <w:spacing w:line="320" w:lineRule="exact"/>
              <w:rPr>
                <w:rFonts w:ascii="宋体" w:hAnsi="宋体" w:cs="宋体"/>
                <w:color w:val="auto"/>
                <w:szCs w:val="21"/>
              </w:rPr>
            </w:pPr>
          </w:p>
          <w:p>
            <w:pPr>
              <w:spacing w:line="320" w:lineRule="exact"/>
              <w:rPr>
                <w:rFonts w:ascii="宋体" w:hAnsi="宋体" w:cs="宋体"/>
                <w:color w:val="auto"/>
                <w:szCs w:val="21"/>
              </w:rPr>
            </w:pPr>
          </w:p>
          <w:p>
            <w:pPr>
              <w:spacing w:line="320" w:lineRule="exact"/>
              <w:rPr>
                <w:rFonts w:ascii="宋体" w:hAnsi="宋体" w:cs="宋体"/>
                <w:color w:val="auto"/>
                <w:szCs w:val="21"/>
              </w:rPr>
            </w:pPr>
          </w:p>
          <w:p>
            <w:pPr>
              <w:spacing w:line="320" w:lineRule="exact"/>
              <w:rPr>
                <w:rFonts w:ascii="宋体" w:hAnsi="宋体" w:cs="宋体"/>
                <w:color w:val="auto"/>
                <w:szCs w:val="21"/>
              </w:rPr>
            </w:pPr>
          </w:p>
          <w:p>
            <w:pPr>
              <w:spacing w:line="320" w:lineRule="exact"/>
              <w:rPr>
                <w:rFonts w:ascii="宋体" w:hAnsi="宋体" w:cs="宋体"/>
                <w:color w:val="auto"/>
                <w:szCs w:val="21"/>
              </w:rPr>
            </w:pPr>
          </w:p>
          <w:p>
            <w:pPr>
              <w:spacing w:line="320" w:lineRule="exact"/>
              <w:rPr>
                <w:rFonts w:ascii="宋体" w:hAnsi="宋体" w:cs="宋体"/>
                <w:color w:val="auto"/>
                <w:szCs w:val="21"/>
              </w:rPr>
            </w:pPr>
          </w:p>
          <w:p>
            <w:pPr>
              <w:spacing w:line="320" w:lineRule="exact"/>
              <w:rPr>
                <w:rFonts w:ascii="宋体" w:hAnsi="宋体" w:cs="宋体"/>
                <w:color w:val="auto"/>
                <w:szCs w:val="21"/>
              </w:rPr>
            </w:pPr>
          </w:p>
          <w:p>
            <w:pPr>
              <w:spacing w:line="320" w:lineRule="exact"/>
              <w:rPr>
                <w:rFonts w:ascii="宋体" w:hAnsi="宋体" w:cs="宋体"/>
                <w:color w:val="auto"/>
                <w:szCs w:val="21"/>
              </w:rPr>
            </w:pPr>
          </w:p>
          <w:p>
            <w:pPr>
              <w:spacing w:line="320" w:lineRule="exact"/>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1707" w:type="dxa"/>
          </w:tcPr>
          <w:p>
            <w:pPr>
              <w:spacing w:line="380" w:lineRule="exact"/>
              <w:rPr>
                <w:rFonts w:ascii="宋体" w:hAnsi="宋体" w:cs="宋体"/>
                <w:color w:val="auto"/>
                <w:szCs w:val="21"/>
              </w:rPr>
            </w:pPr>
            <w:r>
              <w:rPr>
                <w:rFonts w:hint="eastAsia"/>
                <w:bCs/>
                <w:color w:val="auto"/>
                <w:szCs w:val="21"/>
              </w:rPr>
              <w:t>应急准备和相应</w:t>
            </w:r>
          </w:p>
        </w:tc>
        <w:tc>
          <w:tcPr>
            <w:tcW w:w="1070" w:type="dxa"/>
          </w:tcPr>
          <w:p>
            <w:pPr>
              <w:spacing w:line="380" w:lineRule="exact"/>
              <w:rPr>
                <w:bCs/>
                <w:color w:val="auto"/>
                <w:szCs w:val="21"/>
              </w:rPr>
            </w:pPr>
            <w:r>
              <w:rPr>
                <w:rFonts w:hint="eastAsia"/>
                <w:bCs/>
                <w:color w:val="auto"/>
                <w:szCs w:val="21"/>
              </w:rPr>
              <w:t>E</w:t>
            </w:r>
            <w:r>
              <w:rPr>
                <w:rFonts w:hint="eastAsia"/>
                <w:bCs/>
                <w:color w:val="auto"/>
                <w:szCs w:val="21"/>
                <w:lang w:val="en-US" w:eastAsia="zh-CN"/>
              </w:rPr>
              <w:t>S</w:t>
            </w:r>
            <w:r>
              <w:rPr>
                <w:rFonts w:hint="eastAsia"/>
                <w:bCs/>
                <w:color w:val="auto"/>
                <w:szCs w:val="21"/>
              </w:rPr>
              <w:t>8.2</w:t>
            </w:r>
          </w:p>
          <w:p>
            <w:pPr>
              <w:spacing w:line="380" w:lineRule="exact"/>
              <w:rPr>
                <w:rFonts w:ascii="宋体" w:hAnsi="宋体" w:cs="宋体"/>
                <w:color w:val="auto"/>
                <w:szCs w:val="21"/>
              </w:rPr>
            </w:pPr>
          </w:p>
        </w:tc>
        <w:tc>
          <w:tcPr>
            <w:tcW w:w="11172" w:type="dxa"/>
            <w:gridSpan w:val="2"/>
          </w:tcPr>
          <w:p>
            <w:pPr>
              <w:spacing w:line="380" w:lineRule="exact"/>
              <w:ind w:firstLine="420" w:firstLineChars="200"/>
              <w:rPr>
                <w:color w:val="auto"/>
                <w:szCs w:val="21"/>
              </w:rPr>
            </w:pPr>
            <w:r>
              <w:rPr>
                <w:rFonts w:hint="eastAsia" w:ascii="宋体" w:hAnsi="宋体" w:cs="宋体"/>
                <w:color w:val="auto"/>
                <w:szCs w:val="21"/>
              </w:rPr>
              <w:t>参加综合部组织的应急培训和演练，详见审核综合部该条款记录。</w:t>
            </w:r>
          </w:p>
        </w:tc>
        <w:tc>
          <w:tcPr>
            <w:tcW w:w="760" w:type="dxa"/>
          </w:tcPr>
          <w:p>
            <w:pPr>
              <w:spacing w:line="320" w:lineRule="exact"/>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707" w:type="dxa"/>
          </w:tcPr>
          <w:p>
            <w:pPr>
              <w:spacing w:line="380" w:lineRule="exact"/>
              <w:rPr>
                <w:rFonts w:ascii="宋体" w:hAnsi="宋体" w:cs="宋体"/>
                <w:color w:val="auto"/>
                <w:szCs w:val="21"/>
              </w:rPr>
            </w:pPr>
            <w:r>
              <w:rPr>
                <w:rFonts w:hint="eastAsia" w:ascii="宋体" w:hAnsi="宋体" w:cs="宋体"/>
                <w:color w:val="auto"/>
                <w:szCs w:val="21"/>
              </w:rPr>
              <w:t>不合格和纠正措施</w:t>
            </w:r>
          </w:p>
        </w:tc>
        <w:tc>
          <w:tcPr>
            <w:tcW w:w="1070" w:type="dxa"/>
          </w:tcPr>
          <w:p>
            <w:pPr>
              <w:pStyle w:val="10"/>
              <w:spacing w:line="380" w:lineRule="exact"/>
              <w:rPr>
                <w:color w:val="auto"/>
                <w:szCs w:val="21"/>
              </w:rPr>
            </w:pPr>
            <w:r>
              <w:rPr>
                <w:rFonts w:hint="eastAsia"/>
                <w:color w:val="auto"/>
                <w:szCs w:val="21"/>
              </w:rPr>
              <w:t>Q</w:t>
            </w:r>
            <w:r>
              <w:rPr>
                <w:rFonts w:hint="eastAsia"/>
                <w:color w:val="auto"/>
                <w:szCs w:val="21"/>
                <w:lang w:val="en-US" w:eastAsia="zh-CN"/>
              </w:rPr>
              <w:t>ES</w:t>
            </w:r>
            <w:r>
              <w:rPr>
                <w:rFonts w:hint="eastAsia"/>
                <w:color w:val="auto"/>
                <w:szCs w:val="21"/>
              </w:rPr>
              <w:t>10.2</w:t>
            </w:r>
          </w:p>
          <w:p>
            <w:pPr>
              <w:spacing w:line="380" w:lineRule="exact"/>
              <w:rPr>
                <w:rFonts w:ascii="宋体" w:hAnsi="宋体" w:cs="宋体"/>
                <w:color w:val="auto"/>
                <w:szCs w:val="21"/>
              </w:rPr>
            </w:pPr>
          </w:p>
        </w:tc>
        <w:tc>
          <w:tcPr>
            <w:tcW w:w="11172" w:type="dxa"/>
            <w:gridSpan w:val="2"/>
          </w:tcPr>
          <w:p>
            <w:pPr>
              <w:snapToGrid w:val="0"/>
              <w:spacing w:line="380" w:lineRule="exact"/>
              <w:ind w:firstLine="420" w:firstLineChars="200"/>
              <w:jc w:val="left"/>
              <w:rPr>
                <w:color w:val="auto"/>
              </w:rPr>
            </w:pPr>
            <w:r>
              <w:rPr>
                <w:rFonts w:hint="eastAsia"/>
                <w:color w:val="auto"/>
              </w:rPr>
              <w:t>手册中规定了采取纠正措施的时机、对不合格或潜在不合格的原因进行分析、采取相应的对策措施等，所制定的纠正措施、预防措施程序中规定的要求满足标准要求。负责人介绍公司在运行过程中对质量、环境、职业健康安全管理体系发现的不合格都会采取纠正、纠正措施以防止不合格或不符合再次发生，同时也会举一反三，采取预防措施以防止发生不合格或不符合。 公司内审时发现的1项不符合项进行了原因分析、纠正措施和验证，详见审核9.2条款记录。</w:t>
            </w:r>
          </w:p>
          <w:p>
            <w:pPr>
              <w:spacing w:line="380" w:lineRule="exact"/>
              <w:ind w:firstLine="420" w:firstLineChars="200"/>
              <w:rPr>
                <w:rFonts w:hint="eastAsia"/>
                <w:color w:val="auto"/>
              </w:rPr>
            </w:pPr>
            <w:r>
              <w:rPr>
                <w:rFonts w:hint="eastAsia"/>
                <w:color w:val="auto"/>
              </w:rPr>
              <w:t>公司对纠正及预防措施的管理基本符合要求。</w:t>
            </w:r>
          </w:p>
          <w:p>
            <w:pPr>
              <w:pStyle w:val="10"/>
              <w:rPr>
                <w:rFonts w:hint="eastAsia"/>
                <w:color w:val="auto"/>
                <w:szCs w:val="21"/>
              </w:rPr>
            </w:pPr>
          </w:p>
          <w:p>
            <w:pPr>
              <w:pStyle w:val="10"/>
              <w:rPr>
                <w:rFonts w:hint="eastAsia"/>
                <w:color w:val="auto"/>
                <w:szCs w:val="21"/>
              </w:rPr>
            </w:pPr>
          </w:p>
          <w:p>
            <w:pPr>
              <w:pStyle w:val="10"/>
              <w:rPr>
                <w:rFonts w:hint="eastAsia"/>
                <w:color w:val="auto"/>
                <w:szCs w:val="21"/>
              </w:rPr>
            </w:pPr>
          </w:p>
        </w:tc>
        <w:tc>
          <w:tcPr>
            <w:tcW w:w="760" w:type="dxa"/>
          </w:tcPr>
          <w:p>
            <w:pPr>
              <w:spacing w:line="320" w:lineRule="exact"/>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707" w:type="dxa"/>
            <w:vAlign w:val="top"/>
          </w:tcPr>
          <w:p>
            <w:pPr>
              <w:tabs>
                <w:tab w:val="left" w:pos="7380"/>
              </w:tabs>
              <w:rPr>
                <w:rFonts w:hint="eastAsia" w:ascii="宋体" w:hAnsi="宋体" w:eastAsia="宋体" w:cs="Tahoma"/>
                <w:szCs w:val="21"/>
                <w:lang w:val="en-US" w:eastAsia="zh-CN"/>
              </w:rPr>
            </w:pPr>
            <w:r>
              <w:rPr>
                <w:rFonts w:hint="eastAsia" w:ascii="宋体" w:hAnsi="宋体" w:eastAsia="宋体" w:cs="Tahoma"/>
                <w:szCs w:val="21"/>
                <w:lang w:val="en-US" w:eastAsia="zh-CN"/>
              </w:rPr>
              <w:t>是否具备二阶段审核结论</w:t>
            </w:r>
          </w:p>
          <w:p>
            <w:pPr>
              <w:tabs>
                <w:tab w:val="left" w:pos="7380"/>
              </w:tabs>
              <w:rPr>
                <w:rFonts w:hint="eastAsia" w:ascii="宋体" w:hAnsi="宋体" w:eastAsia="宋体" w:cs="Tahoma"/>
                <w:szCs w:val="21"/>
                <w:lang w:val="en-US" w:eastAsia="zh-CN"/>
              </w:rPr>
            </w:pPr>
          </w:p>
          <w:p>
            <w:pPr>
              <w:tabs>
                <w:tab w:val="left" w:pos="7380"/>
              </w:tabs>
              <w:rPr>
                <w:rFonts w:hint="eastAsia" w:ascii="宋体" w:hAnsi="宋体" w:eastAsia="宋体" w:cs="Tahoma"/>
                <w:kern w:val="2"/>
                <w:sz w:val="21"/>
                <w:szCs w:val="21"/>
                <w:lang w:val="en-US" w:eastAsia="zh-CN" w:bidi="ar-SA"/>
              </w:rPr>
            </w:pPr>
            <w:r>
              <w:rPr>
                <w:rFonts w:hint="eastAsia" w:ascii="宋体" w:hAnsi="宋体" w:eastAsia="宋体" w:cs="Tahoma"/>
                <w:szCs w:val="21"/>
                <w:lang w:val="en-US" w:eastAsia="zh-CN"/>
              </w:rPr>
              <w:t>第二阶段重要审核点等相关内容</w:t>
            </w:r>
          </w:p>
        </w:tc>
        <w:tc>
          <w:tcPr>
            <w:tcW w:w="1070" w:type="dxa"/>
            <w:vAlign w:val="top"/>
          </w:tcPr>
          <w:p>
            <w:pPr>
              <w:tabs>
                <w:tab w:val="left" w:pos="7380"/>
              </w:tabs>
              <w:rPr>
                <w:rFonts w:hint="eastAsia" w:ascii="宋体" w:hAnsi="宋体" w:eastAsia="宋体" w:cs="Tahoma"/>
                <w:kern w:val="2"/>
                <w:sz w:val="21"/>
                <w:szCs w:val="21"/>
                <w:lang w:val="en-US" w:eastAsia="zh-CN" w:bidi="ar-SA"/>
              </w:rPr>
            </w:pPr>
          </w:p>
        </w:tc>
        <w:tc>
          <w:tcPr>
            <w:tcW w:w="11172" w:type="dxa"/>
            <w:gridSpan w:val="2"/>
            <w:vAlign w:val="top"/>
          </w:tcPr>
          <w:p>
            <w:pPr>
              <w:tabs>
                <w:tab w:val="left" w:pos="7380"/>
              </w:tabs>
              <w:rPr>
                <w:rFonts w:hint="eastAsia" w:ascii="宋体" w:hAnsi="宋体" w:eastAsia="宋体" w:cs="Tahoma"/>
                <w:szCs w:val="21"/>
                <w:lang w:val="en-US" w:eastAsia="zh-CN"/>
              </w:rPr>
            </w:pPr>
            <w:r>
              <w:rPr>
                <w:rFonts w:hint="eastAsia" w:ascii="宋体" w:hAnsi="宋体" w:eastAsia="宋体" w:cs="Tahoma"/>
                <w:szCs w:val="21"/>
                <w:lang w:val="en-US" w:eastAsia="zh-CN"/>
              </w:rPr>
              <w:t>通过一阶段对受审核方的管理、服务及销售巡视和观察，对管理体系绩效要求有重大影响的过程、活动、场所和现场运行进行观察、巡视及总体性评价，组织具备二阶段审核条件，可进行二阶段审核。</w:t>
            </w:r>
          </w:p>
          <w:p>
            <w:pPr>
              <w:tabs>
                <w:tab w:val="left" w:pos="7380"/>
              </w:tabs>
              <w:rPr>
                <w:rFonts w:hint="eastAsia" w:ascii="宋体" w:hAnsi="宋体" w:eastAsia="宋体" w:cs="Tahoma"/>
                <w:szCs w:val="21"/>
                <w:lang w:val="en-US" w:eastAsia="zh-CN"/>
              </w:rPr>
            </w:pPr>
          </w:p>
          <w:p>
            <w:pPr>
              <w:tabs>
                <w:tab w:val="left" w:pos="7380"/>
              </w:tabs>
              <w:rPr>
                <w:rFonts w:hint="default" w:ascii="宋体" w:hAnsi="宋体" w:eastAsia="宋体" w:cs="Tahoma"/>
                <w:szCs w:val="21"/>
                <w:lang w:val="en-US" w:eastAsia="zh-CN"/>
              </w:rPr>
            </w:pPr>
            <w:r>
              <w:rPr>
                <w:rFonts w:hint="eastAsia" w:ascii="宋体" w:hAnsi="宋体" w:eastAsia="宋体" w:cs="Tahoma"/>
                <w:szCs w:val="21"/>
                <w:lang w:val="en-US" w:eastAsia="zh-CN"/>
              </w:rPr>
              <w:t>二阶段重点审核：</w:t>
            </w:r>
          </w:p>
          <w:p>
            <w:pPr>
              <w:tabs>
                <w:tab w:val="left" w:pos="7380"/>
              </w:tabs>
              <w:rPr>
                <w:rFonts w:hint="default" w:ascii="宋体" w:hAnsi="宋体" w:eastAsia="宋体" w:cs="Tahoma"/>
                <w:szCs w:val="21"/>
                <w:lang w:val="en-US" w:eastAsia="zh-CN"/>
              </w:rPr>
            </w:pPr>
            <w:r>
              <w:rPr>
                <w:rFonts w:hint="eastAsia" w:ascii="宋体" w:hAnsi="宋体" w:eastAsia="宋体" w:cs="Tahoma"/>
                <w:szCs w:val="21"/>
                <w:lang w:val="en-US" w:eastAsia="zh-CN"/>
              </w:rPr>
              <w:t>Q:技术服务控制过程、销售过程、采购过程、检验过程等</w:t>
            </w:r>
          </w:p>
          <w:p>
            <w:pPr>
              <w:tabs>
                <w:tab w:val="left" w:pos="7380"/>
              </w:tabs>
              <w:rPr>
                <w:rFonts w:hint="eastAsia" w:ascii="宋体" w:hAnsi="宋体" w:eastAsia="宋体" w:cs="Tahoma"/>
                <w:szCs w:val="21"/>
                <w:lang w:val="en-US" w:eastAsia="zh-CN"/>
              </w:rPr>
            </w:pPr>
            <w:r>
              <w:rPr>
                <w:rFonts w:hint="eastAsia" w:ascii="宋体" w:hAnsi="宋体" w:eastAsia="宋体" w:cs="Tahoma"/>
                <w:szCs w:val="21"/>
                <w:lang w:val="en-US" w:eastAsia="zh-CN"/>
              </w:rPr>
              <w:t>E:环境因素识别、重要环境因素管理方案、相关方的信息沟通、应急准备和响应控制措施等</w:t>
            </w:r>
          </w:p>
          <w:p>
            <w:pPr>
              <w:pStyle w:val="10"/>
              <w:rPr>
                <w:rFonts w:hint="default"/>
                <w:lang w:val="en-US" w:eastAsia="zh-CN"/>
              </w:rPr>
            </w:pPr>
            <w:r>
              <w:rPr>
                <w:rFonts w:hint="eastAsia" w:ascii="宋体" w:hAnsi="宋体" w:cs="Tahoma"/>
                <w:szCs w:val="21"/>
                <w:lang w:val="en-US" w:eastAsia="zh-CN"/>
              </w:rPr>
              <w:t>O:危险源辨识、不可接受风险识别及管理方案、</w:t>
            </w:r>
            <w:r>
              <w:rPr>
                <w:rFonts w:hint="eastAsia" w:ascii="宋体" w:hAnsi="宋体" w:eastAsia="宋体" w:cs="Tahoma"/>
                <w:szCs w:val="21"/>
                <w:lang w:val="en-US" w:eastAsia="zh-CN"/>
              </w:rPr>
              <w:t>相关方的信息沟通、应急准备和响应控制措施等</w:t>
            </w:r>
          </w:p>
          <w:p>
            <w:pPr>
              <w:tabs>
                <w:tab w:val="left" w:pos="7380"/>
              </w:tabs>
              <w:rPr>
                <w:rFonts w:hint="default" w:ascii="宋体" w:hAnsi="宋体" w:eastAsia="宋体" w:cs="Tahoma"/>
                <w:szCs w:val="21"/>
                <w:lang w:val="en-US" w:eastAsia="zh-CN"/>
              </w:rPr>
            </w:pPr>
            <w:r>
              <w:rPr>
                <w:rFonts w:hint="eastAsia" w:ascii="宋体" w:hAnsi="宋体" w:eastAsia="宋体" w:cs="Tahoma"/>
                <w:szCs w:val="21"/>
                <w:lang w:val="en-US" w:eastAsia="zh-CN"/>
              </w:rPr>
              <w:t>重点审核部门：综合部、</w:t>
            </w:r>
            <w:r>
              <w:rPr>
                <w:rFonts w:hint="eastAsia" w:ascii="宋体" w:hAnsi="宋体" w:cs="Tahoma"/>
                <w:szCs w:val="21"/>
                <w:lang w:val="en-US" w:eastAsia="zh-CN"/>
              </w:rPr>
              <w:t>技术部</w:t>
            </w:r>
          </w:p>
          <w:p>
            <w:pPr>
              <w:tabs>
                <w:tab w:val="left" w:pos="7380"/>
              </w:tabs>
              <w:rPr>
                <w:rFonts w:hint="eastAsia" w:ascii="宋体" w:hAnsi="宋体" w:eastAsia="宋体" w:cs="Tahoma"/>
                <w:szCs w:val="21"/>
                <w:lang w:val="en-US" w:eastAsia="zh-CN"/>
              </w:rPr>
            </w:pPr>
            <w:r>
              <w:rPr>
                <w:rFonts w:hint="eastAsia" w:ascii="宋体" w:hAnsi="宋体" w:eastAsia="宋体" w:cs="Tahoma"/>
                <w:szCs w:val="21"/>
                <w:lang w:val="en-US" w:eastAsia="zh-CN"/>
              </w:rPr>
              <w:t>重点审核过程：环境因素识别、风险识别评价、运行过程、监视和测量、不符合控制、合规性评价等。</w:t>
            </w:r>
          </w:p>
          <w:p>
            <w:pPr>
              <w:tabs>
                <w:tab w:val="left" w:pos="7380"/>
              </w:tabs>
              <w:rPr>
                <w:rFonts w:hint="eastAsia" w:ascii="宋体" w:hAnsi="宋体" w:eastAsia="宋体" w:cs="Tahoma"/>
                <w:szCs w:val="21"/>
                <w:lang w:val="en-US" w:eastAsia="zh-CN"/>
              </w:rPr>
            </w:pPr>
            <w:r>
              <w:rPr>
                <w:rFonts w:hint="eastAsia" w:ascii="宋体" w:hAnsi="宋体" w:eastAsia="宋体" w:cs="Tahoma"/>
                <w:szCs w:val="21"/>
                <w:lang w:val="en-US" w:eastAsia="zh-CN"/>
              </w:rPr>
              <w:t>重点审核场所：技术服务场所、销售场所、办公场所。</w:t>
            </w:r>
          </w:p>
          <w:p>
            <w:pPr>
              <w:tabs>
                <w:tab w:val="left" w:pos="7380"/>
              </w:tabs>
              <w:rPr>
                <w:rFonts w:hint="eastAsia" w:ascii="宋体" w:hAnsi="宋体" w:eastAsia="宋体" w:cs="Tahoma"/>
                <w:kern w:val="2"/>
                <w:sz w:val="21"/>
                <w:szCs w:val="21"/>
                <w:lang w:val="en-US" w:eastAsia="zh-CN" w:bidi="ar-SA"/>
              </w:rPr>
            </w:pPr>
            <w:r>
              <w:rPr>
                <w:rFonts w:hint="eastAsia" w:ascii="宋体" w:hAnsi="宋体" w:eastAsia="宋体" w:cs="Tahoma"/>
                <w:szCs w:val="21"/>
                <w:lang w:val="en-US" w:eastAsia="zh-CN"/>
              </w:rPr>
              <w:t>审核时间：2020.</w:t>
            </w:r>
            <w:r>
              <w:rPr>
                <w:rFonts w:hint="eastAsia" w:ascii="宋体" w:hAnsi="宋体" w:cs="Tahoma"/>
                <w:szCs w:val="21"/>
                <w:lang w:val="en-US" w:eastAsia="zh-CN"/>
              </w:rPr>
              <w:t>11.27-28</w:t>
            </w:r>
          </w:p>
        </w:tc>
        <w:tc>
          <w:tcPr>
            <w:tcW w:w="760" w:type="dxa"/>
          </w:tcPr>
          <w:p>
            <w:pPr>
              <w:spacing w:line="320" w:lineRule="exact"/>
              <w:rPr>
                <w:rFonts w:ascii="宋体" w:hAnsi="宋体" w:cs="宋体"/>
                <w:color w:val="auto"/>
                <w:szCs w:val="21"/>
              </w:rPr>
            </w:pPr>
          </w:p>
        </w:tc>
      </w:tr>
    </w:tbl>
    <w:p>
      <w:pPr>
        <w:pStyle w:val="6"/>
      </w:pPr>
      <w:r>
        <w:rPr>
          <w:rFonts w:hint="eastAsia"/>
        </w:rPr>
        <w:t>说明：不符合标注N</w:t>
      </w:r>
    </w:p>
    <w:p>
      <w:pPr>
        <w:pStyle w:val="6"/>
      </w:pPr>
    </w:p>
    <w:p>
      <w:pPr>
        <w:pStyle w:val="6"/>
      </w:pPr>
    </w:p>
    <w:p>
      <w:pPr>
        <w:pStyle w:val="6"/>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0000000000000000000"/>
    <w:charset w:val="86"/>
    <w:family w:val="modern"/>
    <w:pitch w:val="default"/>
    <w:sig w:usb0="00000000" w:usb1="00000000" w:usb2="00000000" w:usb3="00000000" w:csb0="00040000" w:csb1="00000000"/>
  </w:font>
  <w:font w:name="Lucida Sans">
    <w:altName w:val="Lucida Sans Unicode"/>
    <w:panose1 w:val="00000000000000000000"/>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6"/>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2"/>
      <w:pBdr>
        <w:bottom w:val="none" w:color="auto" w:sz="0" w:space="1"/>
      </w:pBdr>
      <w:spacing w:line="320" w:lineRule="exact"/>
      <w:jc w:val="left"/>
    </w:pPr>
    <w:r>
      <mc:AlternateContent>
        <mc:Choice Requires="wps">
          <w:drawing>
            <wp:anchor distT="0" distB="0" distL="114300" distR="114300" simplePos="0" relativeHeight="251661312" behindDoc="0" locked="0" layoutInCell="1" allowOverlap="1">
              <wp:simplePos x="0" y="0"/>
              <wp:positionH relativeFrom="column">
                <wp:posOffset>7045325</wp:posOffset>
              </wp:positionH>
              <wp:positionV relativeFrom="paragraph">
                <wp:posOffset>27940</wp:posOffset>
              </wp:positionV>
              <wp:extent cx="2184400" cy="256540"/>
              <wp:effectExtent l="0" t="0" r="6350" b="10160"/>
              <wp:wrapNone/>
              <wp:docPr id="2" name="文本框 1"/>
              <wp:cNvGraphicFramePr/>
              <a:graphic xmlns:a="http://schemas.openxmlformats.org/drawingml/2006/main">
                <a:graphicData uri="http://schemas.microsoft.com/office/word/2010/wordprocessingShape">
                  <wps:wsp>
                    <wps:cNvSpPr txBox="1"/>
                    <wps:spPr>
                      <a:xfrm>
                        <a:off x="0" y="0"/>
                        <a:ext cx="2388235" cy="256540"/>
                      </a:xfrm>
                      <a:prstGeom prst="rect">
                        <a:avLst/>
                      </a:prstGeom>
                      <a:solidFill>
                        <a:srgbClr val="FFFFFF"/>
                      </a:solidFill>
                      <a:ln w="9525">
                        <a:noFill/>
                      </a:ln>
                      <a:effectLst/>
                    </wps:spPr>
                    <wps:txbx>
                      <w:txbxContent>
                        <w:p>
                          <w:r>
                            <w:rPr>
                              <w:rFonts w:hint="eastAsia"/>
                              <w:sz w:val="18"/>
                              <w:szCs w:val="18"/>
                            </w:rPr>
                            <w:t>ISC-B-I-19 管理体系审核记录表(03版)</w:t>
                          </w:r>
                        </w:p>
                      </w:txbxContent>
                    </wps:txbx>
                    <wps:bodyPr upright="1"/>
                  </wps:wsp>
                </a:graphicData>
              </a:graphic>
            </wp:anchor>
          </w:drawing>
        </mc:Choice>
        <mc:Fallback>
          <w:pict>
            <v:shape id="文本框 1" o:spid="_x0000_s1026" o:spt="202" type="#_x0000_t202" style="position:absolute;left:0pt;margin-left:554.75pt;margin-top:2.2pt;height:20.2pt;width:172pt;z-index:251661312;mso-width-relative:page;mso-height-relative:page;" fillcolor="#FFFFFF" filled="t" stroked="f" coordsize="21600,21600"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h&#10;Bqrl1gAAAAoBAAAPAAAAAAAAAAEAIAAAACIAAABkcnMvZG93bnJldi54bWxQSwECFAAUAAAACACH&#10;TuJA9TGBsrQBAABAAwAADgAAAAAAAAABACAAAAAlAQAAZHJzL2Uyb0RvYy54bWxQSwUGAAAAAAYA&#10;BgBZAQAASwUAAAAA&#10;">
              <v:fill on="t" focussize="0,0"/>
              <v:stroke on="f"/>
              <v:imagedata o:title=""/>
              <o:lock v:ext="edit" aspectratio="f"/>
              <v:textbox>
                <w:txbxContent>
                  <w:p>
                    <w:r>
                      <w:rPr>
                        <w:rFonts w:hint="eastAsia"/>
                        <w:sz w:val="18"/>
                        <w:szCs w:val="18"/>
                      </w:rPr>
                      <w:t>ISC-B-I-19 管理体系审核记录表(03版)</w:t>
                    </w:r>
                  </w:p>
                </w:txbxContent>
              </v:textbox>
            </v:shape>
          </w:pict>
        </mc:Fallback>
      </mc:AlternateContent>
    </w:r>
    <w:r>
      <w:rPr>
        <w:rStyle w:val="14"/>
        <w:rFonts w:hint="default"/>
      </w:rPr>
      <w:t xml:space="preserve">        </w:t>
    </w:r>
    <w:r>
      <w:rPr>
        <w:rStyle w:val="14"/>
        <w:rFonts w:hint="default"/>
        <w:w w:val="90"/>
      </w:rPr>
      <w:t>Beijing International Standard united Certification Co.,Ltd.</w:t>
    </w:r>
    <w:r>
      <w:rPr>
        <w:rStyle w:val="14"/>
        <w:rFonts w:hint="default"/>
        <w:w w:val="90"/>
        <w:szCs w:val="21"/>
      </w:rPr>
      <w:t xml:space="preserve">  </w:t>
    </w:r>
    <w:r>
      <w:rPr>
        <w:rStyle w:val="14"/>
        <w:rFonts w:hint="default"/>
        <w:w w:val="90"/>
        <w:sz w:val="20"/>
      </w:rPr>
      <w:t xml:space="preserve"> </w:t>
    </w:r>
    <w:r>
      <w:rPr>
        <w:rStyle w:val="14"/>
        <w:rFonts w:hint="default"/>
        <w:w w:val="90"/>
      </w:rPr>
      <w:t xml:space="preserve">                   </w:t>
    </w:r>
  </w:p>
  <w:p>
    <w:pPr>
      <w:pStyle w:val="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91F635"/>
    <w:multiLevelType w:val="singleLevel"/>
    <w:tmpl w:val="8691F635"/>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3B4"/>
    <w:rsid w:val="000237F6"/>
    <w:rsid w:val="0003373A"/>
    <w:rsid w:val="000A7775"/>
    <w:rsid w:val="000D7C7B"/>
    <w:rsid w:val="001A2D7F"/>
    <w:rsid w:val="00213ED6"/>
    <w:rsid w:val="002448DB"/>
    <w:rsid w:val="00262E34"/>
    <w:rsid w:val="002D5DC3"/>
    <w:rsid w:val="00337922"/>
    <w:rsid w:val="00340867"/>
    <w:rsid w:val="00380837"/>
    <w:rsid w:val="00381A85"/>
    <w:rsid w:val="003A198A"/>
    <w:rsid w:val="003A1BDA"/>
    <w:rsid w:val="00410914"/>
    <w:rsid w:val="004872EA"/>
    <w:rsid w:val="004D16F3"/>
    <w:rsid w:val="00536930"/>
    <w:rsid w:val="00564772"/>
    <w:rsid w:val="00564E53"/>
    <w:rsid w:val="0059008D"/>
    <w:rsid w:val="006122CC"/>
    <w:rsid w:val="00644FE2"/>
    <w:rsid w:val="0067640C"/>
    <w:rsid w:val="006E678B"/>
    <w:rsid w:val="007757F3"/>
    <w:rsid w:val="007E6AEB"/>
    <w:rsid w:val="00813D89"/>
    <w:rsid w:val="008973EE"/>
    <w:rsid w:val="009043C9"/>
    <w:rsid w:val="00933C04"/>
    <w:rsid w:val="00971600"/>
    <w:rsid w:val="009973B4"/>
    <w:rsid w:val="009C28C1"/>
    <w:rsid w:val="009F7EED"/>
    <w:rsid w:val="00A60FF4"/>
    <w:rsid w:val="00AA010F"/>
    <w:rsid w:val="00AE4CEF"/>
    <w:rsid w:val="00AF0AAB"/>
    <w:rsid w:val="00AF0F5F"/>
    <w:rsid w:val="00BF597E"/>
    <w:rsid w:val="00C179A0"/>
    <w:rsid w:val="00C3466C"/>
    <w:rsid w:val="00C51A36"/>
    <w:rsid w:val="00C55228"/>
    <w:rsid w:val="00CB7183"/>
    <w:rsid w:val="00CE315A"/>
    <w:rsid w:val="00D00BF7"/>
    <w:rsid w:val="00D06F59"/>
    <w:rsid w:val="00D70962"/>
    <w:rsid w:val="00D8388C"/>
    <w:rsid w:val="00DF3A13"/>
    <w:rsid w:val="00E3710F"/>
    <w:rsid w:val="00E64F4C"/>
    <w:rsid w:val="00EB0164"/>
    <w:rsid w:val="00EC0BDA"/>
    <w:rsid w:val="00ED0F62"/>
    <w:rsid w:val="00FC5290"/>
    <w:rsid w:val="0320505F"/>
    <w:rsid w:val="038B12E8"/>
    <w:rsid w:val="04510B7D"/>
    <w:rsid w:val="08370D1F"/>
    <w:rsid w:val="0893007A"/>
    <w:rsid w:val="08D50198"/>
    <w:rsid w:val="08E60B71"/>
    <w:rsid w:val="0998237F"/>
    <w:rsid w:val="0A7E0BF2"/>
    <w:rsid w:val="0A8D103E"/>
    <w:rsid w:val="0ACE1CBC"/>
    <w:rsid w:val="0AF9100B"/>
    <w:rsid w:val="0B5F07F0"/>
    <w:rsid w:val="0C1869EC"/>
    <w:rsid w:val="0E891764"/>
    <w:rsid w:val="108219C2"/>
    <w:rsid w:val="108A0D67"/>
    <w:rsid w:val="10CD792B"/>
    <w:rsid w:val="11114BE3"/>
    <w:rsid w:val="117E71EC"/>
    <w:rsid w:val="13037145"/>
    <w:rsid w:val="136314F4"/>
    <w:rsid w:val="136B4A65"/>
    <w:rsid w:val="14090FDB"/>
    <w:rsid w:val="14257908"/>
    <w:rsid w:val="15093029"/>
    <w:rsid w:val="15D53416"/>
    <w:rsid w:val="16975B5C"/>
    <w:rsid w:val="16F65808"/>
    <w:rsid w:val="16F701BD"/>
    <w:rsid w:val="186962C0"/>
    <w:rsid w:val="193A6BC1"/>
    <w:rsid w:val="19BD6015"/>
    <w:rsid w:val="1B3E39A3"/>
    <w:rsid w:val="1B405BB2"/>
    <w:rsid w:val="1B9E43FA"/>
    <w:rsid w:val="1BEC3BF1"/>
    <w:rsid w:val="1D85741F"/>
    <w:rsid w:val="1E2452AC"/>
    <w:rsid w:val="1E847499"/>
    <w:rsid w:val="1F055D14"/>
    <w:rsid w:val="1F1F7BA7"/>
    <w:rsid w:val="1FD7676E"/>
    <w:rsid w:val="20645DBC"/>
    <w:rsid w:val="23557E88"/>
    <w:rsid w:val="274E61F5"/>
    <w:rsid w:val="2767752B"/>
    <w:rsid w:val="27DF7CD6"/>
    <w:rsid w:val="28C820C9"/>
    <w:rsid w:val="29E148DD"/>
    <w:rsid w:val="2B177869"/>
    <w:rsid w:val="2C703113"/>
    <w:rsid w:val="2EE93C61"/>
    <w:rsid w:val="2FEB299B"/>
    <w:rsid w:val="32691255"/>
    <w:rsid w:val="32C11AD5"/>
    <w:rsid w:val="32E93072"/>
    <w:rsid w:val="34041CDB"/>
    <w:rsid w:val="3438524B"/>
    <w:rsid w:val="34B32935"/>
    <w:rsid w:val="360112E7"/>
    <w:rsid w:val="375F34D7"/>
    <w:rsid w:val="38A75C48"/>
    <w:rsid w:val="38DB3925"/>
    <w:rsid w:val="38F61C56"/>
    <w:rsid w:val="394F02D7"/>
    <w:rsid w:val="3AD826FA"/>
    <w:rsid w:val="3B1A0AD2"/>
    <w:rsid w:val="3DAD6D4F"/>
    <w:rsid w:val="40285D69"/>
    <w:rsid w:val="407B2BB8"/>
    <w:rsid w:val="41842DAE"/>
    <w:rsid w:val="441A63F5"/>
    <w:rsid w:val="456B1A4B"/>
    <w:rsid w:val="4592331F"/>
    <w:rsid w:val="465B32B5"/>
    <w:rsid w:val="466F33FE"/>
    <w:rsid w:val="48800E04"/>
    <w:rsid w:val="489C542B"/>
    <w:rsid w:val="48BF615B"/>
    <w:rsid w:val="494C5676"/>
    <w:rsid w:val="498C653B"/>
    <w:rsid w:val="4A5605B7"/>
    <w:rsid w:val="4ABE4B71"/>
    <w:rsid w:val="4BB26385"/>
    <w:rsid w:val="4D943D2E"/>
    <w:rsid w:val="4E2F1660"/>
    <w:rsid w:val="4E95570D"/>
    <w:rsid w:val="4EFF6994"/>
    <w:rsid w:val="50886C2D"/>
    <w:rsid w:val="51017ED4"/>
    <w:rsid w:val="52390AC9"/>
    <w:rsid w:val="553D19C1"/>
    <w:rsid w:val="56135BAC"/>
    <w:rsid w:val="56390FCA"/>
    <w:rsid w:val="563932E5"/>
    <w:rsid w:val="56AA2E90"/>
    <w:rsid w:val="57AB6651"/>
    <w:rsid w:val="58322D49"/>
    <w:rsid w:val="58445D7A"/>
    <w:rsid w:val="59A961B5"/>
    <w:rsid w:val="5A526EF4"/>
    <w:rsid w:val="5AAA27E4"/>
    <w:rsid w:val="5BCC76FD"/>
    <w:rsid w:val="5C1F288C"/>
    <w:rsid w:val="5DAB4DE2"/>
    <w:rsid w:val="5DAC4DCE"/>
    <w:rsid w:val="5DE504C5"/>
    <w:rsid w:val="5E1C6CEB"/>
    <w:rsid w:val="5EA12B9A"/>
    <w:rsid w:val="5ED74E33"/>
    <w:rsid w:val="65A34EED"/>
    <w:rsid w:val="65B47E80"/>
    <w:rsid w:val="661149EF"/>
    <w:rsid w:val="6612664F"/>
    <w:rsid w:val="66B7462A"/>
    <w:rsid w:val="67640CF7"/>
    <w:rsid w:val="6A23146B"/>
    <w:rsid w:val="6BA436E5"/>
    <w:rsid w:val="6D53402F"/>
    <w:rsid w:val="6E23710B"/>
    <w:rsid w:val="700D5C7C"/>
    <w:rsid w:val="7333596B"/>
    <w:rsid w:val="73787C5E"/>
    <w:rsid w:val="73A00EA2"/>
    <w:rsid w:val="743806D0"/>
    <w:rsid w:val="75A8368A"/>
    <w:rsid w:val="761F43CB"/>
    <w:rsid w:val="76373F2B"/>
    <w:rsid w:val="77310DBF"/>
    <w:rsid w:val="77562BB8"/>
    <w:rsid w:val="78741EB2"/>
    <w:rsid w:val="78D05DFB"/>
    <w:rsid w:val="79356B38"/>
    <w:rsid w:val="7A627DAC"/>
    <w:rsid w:val="7B5C61FD"/>
    <w:rsid w:val="7C4566E1"/>
    <w:rsid w:val="7E0154BC"/>
    <w:rsid w:val="7EBA4CE7"/>
    <w:rsid w:val="7F033C2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3">
    <w:name w:val="Body Text Indent"/>
    <w:basedOn w:val="1"/>
    <w:qFormat/>
    <w:uiPriority w:val="0"/>
    <w:pPr>
      <w:ind w:firstLine="480" w:firstLineChars="200"/>
    </w:pPr>
    <w:rPr>
      <w:sz w:val="24"/>
    </w:rPr>
  </w:style>
  <w:style w:type="paragraph" w:styleId="4">
    <w:name w:val="Plain Text"/>
    <w:basedOn w:val="1"/>
    <w:unhideWhenUsed/>
    <w:qFormat/>
    <w:uiPriority w:val="0"/>
    <w:rPr>
      <w:rFonts w:ascii="宋体" w:hAnsi="Courier New"/>
    </w:rPr>
  </w:style>
  <w:style w:type="paragraph" w:styleId="5">
    <w:name w:val="Balloon Text"/>
    <w:basedOn w:val="1"/>
    <w:link w:val="13"/>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表格文字"/>
    <w:basedOn w:val="1"/>
    <w:qFormat/>
    <w:uiPriority w:val="0"/>
    <w:pPr>
      <w:spacing w:before="25" w:after="25"/>
    </w:pPr>
    <w:rPr>
      <w:bCs/>
      <w:spacing w:val="10"/>
    </w:rPr>
  </w:style>
  <w:style w:type="character" w:customStyle="1" w:styleId="11">
    <w:name w:val="页眉 字符"/>
    <w:basedOn w:val="9"/>
    <w:link w:val="2"/>
    <w:qFormat/>
    <w:uiPriority w:val="99"/>
    <w:rPr>
      <w:rFonts w:ascii="Times New Roman" w:hAnsi="Times New Roman" w:eastAsia="宋体" w:cs="Times New Roman"/>
      <w:sz w:val="18"/>
      <w:szCs w:val="18"/>
    </w:rPr>
  </w:style>
  <w:style w:type="character" w:customStyle="1" w:styleId="12">
    <w:name w:val="页脚 字符"/>
    <w:basedOn w:val="9"/>
    <w:link w:val="6"/>
    <w:qFormat/>
    <w:uiPriority w:val="99"/>
    <w:rPr>
      <w:rFonts w:ascii="Times New Roman" w:hAnsi="Times New Roman" w:eastAsia="宋体" w:cs="Times New Roman"/>
      <w:sz w:val="18"/>
      <w:szCs w:val="18"/>
    </w:rPr>
  </w:style>
  <w:style w:type="character" w:customStyle="1" w:styleId="13">
    <w:name w:val="批注框文本 字符"/>
    <w:basedOn w:val="9"/>
    <w:link w:val="5"/>
    <w:semiHidden/>
    <w:qFormat/>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customStyle="1" w:styleId="15">
    <w:name w:val="_Style 2"/>
    <w:basedOn w:val="1"/>
    <w:qFormat/>
    <w:uiPriority w:val="34"/>
    <w:pPr>
      <w:ind w:firstLine="420" w:firstLineChars="200"/>
    </w:pPr>
    <w:rPr>
      <w:rFonts w:ascii="Calibri" w:hAnsi="Calibri"/>
      <w:szCs w:val="22"/>
    </w:rPr>
  </w:style>
  <w:style w:type="paragraph" w:customStyle="1" w:styleId="16">
    <w:name w:val="列出段落1"/>
    <w:basedOn w:val="1"/>
    <w:qFormat/>
    <w:uiPriority w:val="34"/>
    <w:pPr>
      <w:ind w:firstLine="420" w:firstLineChars="200"/>
    </w:pPr>
  </w:style>
  <w:style w:type="character" w:customStyle="1" w:styleId="17">
    <w:name w:val="info-content-text"/>
    <w:qFormat/>
    <w:uiPriority w:val="0"/>
  </w:style>
  <w:style w:type="paragraph" w:styleId="18">
    <w:name w:val="No Spacing"/>
    <w:qFormat/>
    <w:uiPriority w:val="99"/>
    <w:pPr>
      <w:widowControl w:val="0"/>
      <w:jc w:val="both"/>
    </w:pPr>
    <w:rPr>
      <w:rFonts w:ascii="Calibri" w:hAnsi="Calibri" w:eastAsia="宋体" w:cs="Times New Roman"/>
      <w:kern w:val="2"/>
      <w:sz w:val="21"/>
      <w:szCs w:val="24"/>
      <w:lang w:val="en-US" w:eastAsia="zh-CN" w:bidi="ar-SA"/>
    </w:rPr>
  </w:style>
  <w:style w:type="paragraph" w:customStyle="1" w:styleId="19">
    <w:name w:val="Body text|1"/>
    <w:basedOn w:val="1"/>
    <w:qFormat/>
    <w:uiPriority w:val="0"/>
    <w:pPr>
      <w:widowControl w:val="0"/>
      <w:shd w:val="clear" w:color="auto" w:fill="auto"/>
      <w:spacing w:after="240" w:line="418" w:lineRule="auto"/>
      <w:ind w:firstLine="400"/>
    </w:pPr>
    <w:rPr>
      <w:rFonts w:ascii="宋体" w:hAnsi="宋体" w:eastAsia="宋体" w:cs="宋体"/>
      <w:sz w:val="26"/>
      <w:szCs w:val="26"/>
      <w:u w:val="none"/>
      <w:shd w:val="clear" w:color="auto" w:fill="auto"/>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1299</Words>
  <Characters>7405</Characters>
  <Lines>61</Lines>
  <Paragraphs>17</Paragraphs>
  <TotalTime>0</TotalTime>
  <ScaleCrop>false</ScaleCrop>
  <LinksUpToDate>false</LinksUpToDate>
  <CharactersWithSpaces>8687</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叶子</cp:lastModifiedBy>
  <dcterms:modified xsi:type="dcterms:W3CDTF">2020-11-28T03:21:38Z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