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0" w:name="E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b/>
          <w:sz w:val="22"/>
          <w:szCs w:val="22"/>
        </w:rPr>
        <w:t>OHSMS</w:t>
      </w:r>
      <w:bookmarkStart w:id="3" w:name="_GoBack"/>
      <w:bookmarkEnd w:id="3"/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0"/>
              </w:rPr>
            </w:pPr>
            <w:bookmarkStart w:id="2" w:name="组织名称"/>
            <w:r>
              <w:rPr>
                <w:b/>
                <w:bCs w:val="0"/>
                <w:sz w:val="20"/>
              </w:rPr>
              <w:t>四川鹤达石油化工工程有限公司</w:t>
            </w:r>
            <w:bookmarkEnd w:id="2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/>
                <w:b/>
                <w:bCs w:val="0"/>
                <w:sz w:val="22"/>
                <w:szCs w:val="22"/>
              </w:rPr>
              <w:t>专业小类</w:t>
            </w:r>
            <w:r>
              <w:rPr>
                <w:b/>
                <w:bCs w:val="0"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/>
                <w:b/>
                <w:bCs w:val="0"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34.05.00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0"/>
              </w:rPr>
            </w:pPr>
            <w:r>
              <w:rPr>
                <w:rFonts w:hint="eastAsia"/>
                <w:b/>
                <w:bCs w:val="0"/>
                <w:sz w:val="20"/>
                <w:lang w:val="en-US" w:eastAsia="zh-CN"/>
              </w:rPr>
              <w:t>何军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/>
                <w:b/>
                <w:bCs w:val="0"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34.05.00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hint="eastAsia"/>
                <w:b/>
                <w:bCs w:val="0"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0"/>
                <w:lang w:val="en-US" w:eastAsia="zh-CN"/>
              </w:rPr>
              <w:t>李凤仪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bCs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18.05.07,28.07.03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bCs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石油化工过程工艺流程：合同签订---材料的到货清理-----辐射段制作、安装-----炉顶风道及炉顶板制作、安装----炉顶燃烧器安装---转化管系安装----对流段安装------烟囱制作安装----引风机安装----鼓风机安装----工艺管道安装----对流段顶部钢结构及屋面安装------转化炉钢结构整体面漆----转化炉竣工验收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设计流程：签订合同--策划--设计输入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输出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设计控制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设计变更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交付及交付的活动；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化工专用设备生产工艺流程：合同签订----采购---材料检验---加工制作---检验---出厂；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关键过程：设计、生产和安装过程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特殊过程：焊接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制定作业指导书及特殊过程确认记录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《石油化工工程防渗技术规范》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GB50374-2006《石油化工工程减隔震（振）技术规范》 SH/T 3201-2018《石油化工工程地震破坏鉴定标准》GB 50992-2014；《高温承压用离心铸造合金炉管》HG/T2601-2011、《高温承压用静态铸造合金管件》HG/T 3673-2011GB50316-2000《工业金属管道设计规范》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GB150-2011《压力容器》、GB50235-2010《工业金属管道工程施工规范》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 50236-2011《现场设备、工业管道焊接工程施工规范》、《入口8寸管、上集气管、上猪尾管和转化管》技术协议、《E107-1、E107-3预热盘管更新及新增管道安装》技术协议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出厂质量检验报告及竣工验收报告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何军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>20</w:t>
      </w:r>
      <w:r>
        <w:rPr>
          <w:rFonts w:hint="eastAsia" w:ascii="宋体"/>
          <w:b/>
          <w:sz w:val="22"/>
          <w:szCs w:val="22"/>
          <w:lang w:val="en-US" w:eastAsia="zh-CN"/>
        </w:rPr>
        <w:t>20</w:t>
      </w:r>
      <w:r>
        <w:rPr>
          <w:rFonts w:ascii="宋体"/>
          <w:b/>
          <w:sz w:val="22"/>
          <w:szCs w:val="22"/>
        </w:rPr>
        <w:t>.11.</w:t>
      </w:r>
      <w:r>
        <w:rPr>
          <w:rFonts w:hint="eastAsia" w:ascii="宋体"/>
          <w:b/>
          <w:sz w:val="22"/>
          <w:szCs w:val="22"/>
          <w:lang w:val="en-US" w:eastAsia="zh-CN"/>
        </w:rPr>
        <w:t>8</w:t>
      </w:r>
      <w:r>
        <w:rPr>
          <w:rFonts w:hint="eastAsia" w:ascii="宋体"/>
          <w:b/>
          <w:sz w:val="22"/>
          <w:szCs w:val="22"/>
        </w:rPr>
        <w:t xml:space="preserve">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李凤仪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>20</w:t>
      </w:r>
      <w:r>
        <w:rPr>
          <w:rFonts w:hint="eastAsia" w:ascii="宋体"/>
          <w:b/>
          <w:sz w:val="22"/>
          <w:szCs w:val="22"/>
          <w:lang w:val="en-US" w:eastAsia="zh-CN"/>
        </w:rPr>
        <w:t>20</w:t>
      </w:r>
      <w:r>
        <w:rPr>
          <w:rFonts w:ascii="宋体"/>
          <w:b/>
          <w:sz w:val="22"/>
          <w:szCs w:val="22"/>
        </w:rPr>
        <w:t>.11.</w:t>
      </w:r>
      <w:r>
        <w:rPr>
          <w:rFonts w:hint="eastAsia" w:ascii="宋体"/>
          <w:b/>
          <w:sz w:val="22"/>
          <w:szCs w:val="22"/>
          <w:lang w:val="en-US" w:eastAsia="zh-CN"/>
        </w:rPr>
        <w:t>8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EF6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2020-11-07T15:31:02Z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