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MS PGothic" w:hAnsi="MS PGothic"/>
          <w:sz w:val="32"/>
          <w:lang w:val="en-US" w:eastAsia="zh-CN"/>
        </w:rPr>
        <w:t xml:space="preserve">   </w:t>
      </w:r>
      <w:r>
        <w:rPr>
          <w:rFonts w:hint="eastAsia" w:ascii="宋体" w:hAnsi="宋体"/>
          <w:sz w:val="32"/>
          <w:u w:val="single"/>
        </w:rPr>
        <w:t>西安锦晟建材有限公司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0175-2019-2020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0175-2019-2020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3135"/>
        <w:gridCol w:w="167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3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西安锦晟建材有限公司</w:t>
            </w:r>
            <w:bookmarkEnd w:id="4"/>
          </w:p>
        </w:tc>
        <w:tc>
          <w:tcPr>
            <w:tcW w:w="16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7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郭金莉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3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ISC-2019-0533</w:t>
            </w:r>
            <w:bookmarkEnd w:id="6"/>
          </w:p>
        </w:tc>
        <w:tc>
          <w:tcPr>
            <w:tcW w:w="16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7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2024-11-17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3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6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7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2020年11月09日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3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35" w:type="dxa"/>
          </w:tcPr>
          <w:p>
            <w:pPr>
              <w:tabs>
                <w:tab w:val="left" w:pos="880"/>
              </w:tabs>
              <w:autoSpaceDE w:val="0"/>
              <w:autoSpaceDN w:val="0"/>
              <w:adjustRightInd w:val="0"/>
              <w:spacing w:before="35" w:line="276" w:lineRule="auto"/>
              <w:ind w:right="161"/>
              <w:jc w:val="left"/>
              <w:rPr>
                <w:rFonts w:hint="eastAsia" w:ascii="宋体" w:hAnsi="宋体"/>
                <w:szCs w:val="21"/>
              </w:rPr>
            </w:pPr>
            <w:r>
              <w:rPr>
                <w:rFonts w:hint="eastAsia" w:ascii="宋体" w:hAnsi="宋体"/>
                <w:szCs w:val="21"/>
              </w:rPr>
              <w:t>李俐</w:t>
            </w:r>
            <w:r>
              <w:rPr>
                <w:rFonts w:hint="eastAsia" w:ascii="宋体" w:hAnsi="宋体"/>
                <w:szCs w:val="21"/>
                <w:lang w:val="en-US" w:eastAsia="zh-CN"/>
              </w:rPr>
              <w:t xml:space="preserve"> </w:t>
            </w:r>
            <w:r>
              <w:rPr>
                <w:rFonts w:hint="eastAsia" w:ascii="宋体" w:hAnsi="宋体"/>
                <w:szCs w:val="21"/>
              </w:rPr>
              <w:t>中认协评 [2018]72号</w:t>
            </w:r>
          </w:p>
          <w:p>
            <w:pPr>
              <w:tabs>
                <w:tab w:val="left" w:pos="880"/>
              </w:tabs>
              <w:autoSpaceDE w:val="0"/>
              <w:autoSpaceDN w:val="0"/>
              <w:adjustRightInd w:val="0"/>
              <w:spacing w:before="35" w:line="276" w:lineRule="auto"/>
              <w:ind w:right="161"/>
              <w:rPr>
                <w:rFonts w:hint="eastAsia" w:ascii="宋体" w:hAnsi="宋体"/>
                <w:szCs w:val="21"/>
              </w:rPr>
            </w:pPr>
            <w:r>
              <w:rPr>
                <w:rFonts w:hint="eastAsia" w:ascii="宋体" w:hAnsi="宋体"/>
                <w:szCs w:val="21"/>
              </w:rPr>
              <w:t>ISC[S]0008</w:t>
            </w:r>
          </w:p>
          <w:p>
            <w:pPr>
              <w:tabs>
                <w:tab w:val="left" w:pos="880"/>
              </w:tabs>
              <w:autoSpaceDE w:val="0"/>
              <w:autoSpaceDN w:val="0"/>
              <w:adjustRightInd w:val="0"/>
              <w:spacing w:before="35" w:line="276" w:lineRule="auto"/>
              <w:ind w:left="0" w:leftChars="0" w:right="161"/>
              <w:rPr>
                <w:rFonts w:hint="eastAsia" w:ascii="宋体" w:hAnsi="宋体" w:eastAsiaTheme="minorEastAsia"/>
                <w:szCs w:val="21"/>
                <w:lang w:val="en-US" w:eastAsia="zh-CN"/>
              </w:rPr>
            </w:pPr>
            <w:r>
              <w:rPr>
                <w:rFonts w:hint="eastAsia"/>
                <w:color w:val="000000"/>
                <w:szCs w:val="21"/>
                <w:lang w:eastAsia="zh-CN"/>
              </w:rPr>
              <w:t>李学弘</w:t>
            </w:r>
            <w:r>
              <w:rPr>
                <w:rFonts w:hint="eastAsia"/>
                <w:color w:val="000000"/>
                <w:szCs w:val="21"/>
                <w:lang w:val="en-US" w:eastAsia="zh-CN"/>
              </w:rPr>
              <w:t xml:space="preserve"> </w:t>
            </w:r>
            <w:r>
              <w:rPr>
                <w:rFonts w:hint="eastAsia" w:ascii="宋体" w:hAnsi="宋体"/>
                <w:szCs w:val="21"/>
              </w:rPr>
              <w:t>中认协评[2019]106 号 ISC[S]0117</w:t>
            </w:r>
          </w:p>
        </w:tc>
        <w:tc>
          <w:tcPr>
            <w:tcW w:w="16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74" w:type="dxa"/>
          </w:tcPr>
          <w:p>
            <w:pPr>
              <w:jc w:val="left"/>
              <w:rPr>
                <w:rFonts w:cs="宋体" w:asciiTheme="minorEastAsia" w:hAnsiTheme="minorEastAsia"/>
                <w:kern w:val="0"/>
                <w:szCs w:val="21"/>
              </w:rPr>
            </w:pPr>
            <w:r>
              <w:rPr>
                <w:rFonts w:hint="eastAsia" w:ascii="宋体" w:hAnsi="宋体" w:eastAsia="宋体" w:cs="宋体"/>
                <w:bCs/>
                <w:sz w:val="21"/>
                <w:szCs w:val="21"/>
                <w:lang w:val="en-US" w:eastAsia="zh-CN"/>
              </w:rPr>
              <w:t>综合办公室、试验部、生产部、设备部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val="en-US" w:eastAsia="zh-CN"/>
        </w:rPr>
        <w:t>产能进一步扩大</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监督审核过程简述：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rPr>
        <w:t>为有效评价</w:t>
      </w:r>
      <w:r>
        <w:rPr>
          <w:rFonts w:hint="eastAsia" w:cs="宋体" w:asciiTheme="minorEastAsia" w:hAnsiTheme="minorEastAsia"/>
          <w:bCs/>
          <w:kern w:val="0"/>
          <w:szCs w:val="21"/>
          <w:lang w:eastAsia="zh-CN"/>
        </w:rPr>
        <w:t>西安锦晟建材有限公司</w:t>
      </w:r>
      <w:r>
        <w:rPr>
          <w:rFonts w:hint="eastAsia" w:cs="宋体" w:asciiTheme="minorEastAsia" w:hAnsiTheme="minorEastAsia"/>
          <w:bCs/>
          <w:kern w:val="0"/>
          <w:szCs w:val="21"/>
        </w:rPr>
        <w:t>测量管理体系认证后一年以来运行情况，在</w:t>
      </w:r>
      <w:r>
        <w:rPr>
          <w:rFonts w:hint="eastAsia" w:cs="宋体" w:asciiTheme="minorEastAsia" w:hAnsiTheme="minorEastAsia"/>
          <w:bCs/>
          <w:kern w:val="0"/>
          <w:szCs w:val="21"/>
          <w:lang w:eastAsia="zh-CN"/>
        </w:rPr>
        <w:t>此次</w:t>
      </w:r>
      <w:r>
        <w:rPr>
          <w:rFonts w:hint="eastAsia" w:cs="宋体" w:asciiTheme="minorEastAsia" w:hAnsiTheme="minorEastAsia"/>
          <w:bCs/>
          <w:kern w:val="0"/>
          <w:szCs w:val="21"/>
        </w:rPr>
        <w:t>现场</w:t>
      </w:r>
      <w:r>
        <w:rPr>
          <w:rFonts w:hint="eastAsia" w:cs="宋体" w:asciiTheme="minorEastAsia" w:hAnsiTheme="minorEastAsia"/>
          <w:bCs/>
          <w:kern w:val="0"/>
          <w:szCs w:val="21"/>
          <w:lang w:val="en-US" w:eastAsia="zh-CN"/>
        </w:rPr>
        <w:t>审核</w:t>
      </w:r>
      <w:r>
        <w:rPr>
          <w:rFonts w:hint="eastAsia" w:cs="宋体" w:asciiTheme="minorEastAsia" w:hAnsiTheme="minorEastAsia"/>
          <w:bCs/>
          <w:kern w:val="0"/>
          <w:szCs w:val="21"/>
        </w:rPr>
        <w:t>中审核组先后抽样检查了</w:t>
      </w:r>
      <w:r>
        <w:rPr>
          <w:rFonts w:hint="eastAsia" w:ascii="宋体" w:hAnsi="宋体" w:eastAsia="宋体" w:cs="宋体"/>
          <w:bCs/>
          <w:sz w:val="21"/>
          <w:szCs w:val="21"/>
          <w:lang w:val="en-US" w:eastAsia="zh-CN"/>
        </w:rPr>
        <w:t>综合办公室、试验部、生产部、设备部</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部门。审核发现</w:t>
      </w:r>
      <w:r>
        <w:rPr>
          <w:rFonts w:hint="eastAsia" w:cs="宋体" w:asciiTheme="minorEastAsia" w:hAnsiTheme="minorEastAsia"/>
          <w:bCs/>
          <w:kern w:val="0"/>
          <w:szCs w:val="21"/>
          <w:lang w:eastAsia="zh-CN"/>
        </w:rPr>
        <w:t>西安锦晟建材有限公司</w:t>
      </w:r>
      <w:r>
        <w:rPr>
          <w:rFonts w:hint="eastAsia" w:cs="宋体" w:asciiTheme="minorEastAsia" w:hAnsiTheme="minorEastAsia"/>
          <w:bCs/>
          <w:kern w:val="0"/>
          <w:szCs w:val="21"/>
          <w:lang w:val="en-US" w:eastAsia="zh-CN"/>
        </w:rPr>
        <w:t>根据测量管理体系的一年运行情况对</w:t>
      </w:r>
      <w:r>
        <w:rPr>
          <w:rFonts w:hint="eastAsia" w:cs="宋体" w:asciiTheme="minorEastAsia" w:hAnsiTheme="minorEastAsia"/>
          <w:bCs/>
          <w:kern w:val="0"/>
          <w:szCs w:val="21"/>
        </w:rPr>
        <w:t>测量管理体系文件</w:t>
      </w:r>
      <w:r>
        <w:rPr>
          <w:rFonts w:hint="eastAsia" w:cs="宋体" w:asciiTheme="minorEastAsia" w:hAnsiTheme="minorEastAsia"/>
          <w:bCs/>
          <w:kern w:val="0"/>
          <w:szCs w:val="21"/>
          <w:lang w:eastAsia="zh-CN"/>
        </w:rPr>
        <w:t>进行了</w:t>
      </w:r>
      <w:r>
        <w:rPr>
          <w:rFonts w:hint="eastAsia" w:cs="宋体" w:asciiTheme="minorEastAsia" w:hAnsiTheme="minorEastAsia"/>
          <w:bCs/>
          <w:kern w:val="0"/>
          <w:szCs w:val="21"/>
        </w:rPr>
        <w:t>修订</w:t>
      </w:r>
      <w:r>
        <w:rPr>
          <w:rFonts w:hint="eastAsia" w:cs="宋体" w:asciiTheme="minorEastAsia" w:hAnsiTheme="minorEastAsia"/>
          <w:bCs/>
          <w:kern w:val="0"/>
          <w:szCs w:val="21"/>
          <w:lang w:eastAsia="zh-CN"/>
        </w:rPr>
        <w:t>，使其更适应企业实际。</w:t>
      </w:r>
      <w:r>
        <w:rPr>
          <w:rFonts w:hint="eastAsia" w:ascii="宋体" w:hAnsi="宋体"/>
          <w:bCs/>
          <w:szCs w:val="21"/>
          <w:lang w:val="en-US" w:eastAsia="zh-CN"/>
        </w:rPr>
        <w:t>计量器具完好率96%，配备率99%；顾客满意度98.4</w:t>
      </w:r>
      <w:r>
        <w:rPr>
          <w:rFonts w:hint="eastAsia" w:ascii="宋体" w:hAnsi="宋体" w:eastAsia="宋体" w:cs="宋体"/>
          <w:bCs/>
          <w:szCs w:val="21"/>
          <w:lang w:val="en-US" w:eastAsia="zh-CN"/>
        </w:rPr>
        <w:t>％。</w:t>
      </w:r>
      <w:r>
        <w:rPr>
          <w:rFonts w:hint="eastAsia" w:cs="宋体" w:asciiTheme="minorEastAsia" w:hAnsiTheme="minorEastAsia"/>
          <w:bCs/>
          <w:kern w:val="0"/>
          <w:szCs w:val="21"/>
          <w:lang w:val="en-US" w:eastAsia="zh-CN"/>
        </w:rPr>
        <w:t>计量目标均已实现；对测量器具管理、计量检测等岗位人员进行了培训；测量设备管理已日常化，制定的各岗位工作流程，使生产过程中的测量点及监测参数更加明确，</w:t>
      </w:r>
      <w:r>
        <w:rPr>
          <w:rFonts w:hint="eastAsia" w:cs="宋体" w:asciiTheme="minorEastAsia" w:hAnsiTheme="minorEastAsia"/>
          <w:bCs/>
          <w:kern w:val="0"/>
          <w:szCs w:val="21"/>
          <w:lang w:eastAsia="zh-CN"/>
        </w:rPr>
        <w:t>西安锦晟建材有限公司保持并完善</w:t>
      </w:r>
      <w:r>
        <w:rPr>
          <w:rFonts w:hint="eastAsia" w:cs="宋体" w:asciiTheme="minorEastAsia" w:hAnsiTheme="minorEastAsia"/>
          <w:bCs/>
          <w:kern w:val="0"/>
          <w:szCs w:val="21"/>
          <w:lang w:val="en-US" w:eastAsia="zh-CN"/>
        </w:rPr>
        <w:t>了</w:t>
      </w:r>
      <w:r>
        <w:rPr>
          <w:rFonts w:hint="eastAsia" w:cs="宋体" w:asciiTheme="minorEastAsia" w:hAnsiTheme="minorEastAsia"/>
          <w:bCs/>
          <w:kern w:val="0"/>
          <w:szCs w:val="21"/>
        </w:rPr>
        <w:t>测量管理体系</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所建立的测量管理体系更</w:t>
      </w:r>
      <w:r>
        <w:rPr>
          <w:rFonts w:hint="eastAsia" w:cs="宋体" w:asciiTheme="minorEastAsia" w:hAnsiTheme="minorEastAsia"/>
          <w:bCs/>
          <w:kern w:val="0"/>
          <w:szCs w:val="21"/>
          <w:lang w:eastAsia="zh-CN"/>
        </w:rPr>
        <w:t>适</w:t>
      </w:r>
      <w:r>
        <w:rPr>
          <w:rFonts w:hint="eastAsia" w:cs="宋体" w:asciiTheme="minorEastAsia" w:hAnsiTheme="minorEastAsia"/>
          <w:bCs/>
          <w:kern w:val="0"/>
          <w:szCs w:val="21"/>
        </w:rPr>
        <w:t>合</w:t>
      </w:r>
      <w:r>
        <w:rPr>
          <w:rFonts w:hint="eastAsia" w:cs="宋体" w:asciiTheme="minorEastAsia" w:hAnsiTheme="minorEastAsia"/>
          <w:bCs/>
          <w:kern w:val="0"/>
          <w:szCs w:val="21"/>
          <w:lang w:eastAsia="zh-CN"/>
        </w:rPr>
        <w:t>企业发展，</w:t>
      </w:r>
      <w:r>
        <w:rPr>
          <w:rFonts w:hint="eastAsia" w:cs="宋体" w:asciiTheme="minorEastAsia" w:hAnsiTheme="minorEastAsia"/>
          <w:bCs/>
          <w:kern w:val="0"/>
          <w:szCs w:val="21"/>
          <w:lang w:val="en-US" w:eastAsia="zh-CN"/>
        </w:rPr>
        <w:t>并</w:t>
      </w:r>
      <w:r>
        <w:rPr>
          <w:rFonts w:hint="eastAsia" w:cs="宋体" w:asciiTheme="minorEastAsia" w:hAnsiTheme="minorEastAsia"/>
          <w:bCs/>
          <w:kern w:val="0"/>
          <w:szCs w:val="21"/>
        </w:rPr>
        <w:t>符合</w:t>
      </w:r>
      <w:r>
        <w:rPr>
          <w:rFonts w:hint="eastAsia" w:cs="宋体" w:asciiTheme="minorEastAsia" w:hAnsiTheme="minorEastAsia"/>
          <w:bCs/>
          <w:kern w:val="0"/>
          <w:szCs w:val="21"/>
          <w:lang w:val="en-US" w:eastAsia="zh-CN"/>
        </w:rPr>
        <w:t>GB/T 19022-2003标准要求。</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3.内部审核和管理评审的情况：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为了充分验证该厂测量管理体系运行的符合性、有效性及持续改进，根据该公司2020年度测量管理体系审核工作计划，2020年7月5日，按照GB/T19022-2003《测量管理体系 测量过程和测量设备的要求》和公司体系文件，</w:t>
      </w:r>
      <w:bookmarkStart w:id="10" w:name="_GoBack"/>
      <w:bookmarkEnd w:id="10"/>
      <w:r>
        <w:rPr>
          <w:rFonts w:hint="eastAsia" w:cs="宋体" w:asciiTheme="minorEastAsia" w:hAnsiTheme="minorEastAsia"/>
          <w:bCs/>
          <w:kern w:val="0"/>
          <w:szCs w:val="21"/>
          <w:lang w:val="en-US" w:eastAsia="zh-CN"/>
        </w:rPr>
        <w:t>组织了内部审核，查审核计划、内审检查表，明确了审核要点、审核方法；本次涉及到</w:t>
      </w:r>
      <w:r>
        <w:rPr>
          <w:rFonts w:hint="eastAsia" w:ascii="宋体" w:hAnsi="宋体"/>
          <w:szCs w:val="21"/>
          <w:lang w:eastAsia="zh-CN"/>
        </w:rPr>
        <w:t>西安锦晟建材有限公司</w:t>
      </w:r>
      <w:r>
        <w:rPr>
          <w:rFonts w:hint="eastAsia" w:cs="宋体" w:asciiTheme="minorEastAsia" w:hAnsiTheme="minorEastAsia"/>
          <w:bCs/>
          <w:kern w:val="0"/>
          <w:szCs w:val="21"/>
          <w:lang w:val="en-US" w:eastAsia="zh-CN"/>
        </w:rPr>
        <w:t>所有与质量、计量、能源有关的部门、人员、场所、活动。审核共开具次要不符合项 1项,对内审发现的问题，制定了有效的纠正措施。所有不符合项已完成整改。</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3.2、西安锦晟建材有限公司的测量体系管理评审：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2020年7月7日进行了管理评审，总经理李京强主持，由公司各部门分别按管理评审输入要求汇报了体系运行实施及完成情况。管代吴双领总结了测量管理体系的运行情况，并肯定了公司测量管理体系运行的充分性、有效性和适宜性。形成了管理评审报告。</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4.为持续改进而策划的活动的进展，包括：</w:t>
      </w:r>
    </w:p>
    <w:p>
      <w:pPr>
        <w:widowControl/>
        <w:spacing w:line="360" w:lineRule="auto"/>
        <w:ind w:firstLine="420" w:firstLineChars="200"/>
        <w:rPr>
          <w:rFonts w:ascii="宋体" w:hAnsi="宋体"/>
          <w:bCs/>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eastAsia="宋体"/>
          <w:szCs w:val="21"/>
          <w:lang w:eastAsia="zh-CN"/>
        </w:rPr>
        <w:t>西安锦晟建材有限公司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w:t>
      </w:r>
      <w:r>
        <w:rPr>
          <w:rFonts w:hint="eastAsia" w:ascii="宋体" w:hAnsi="宋体" w:cs="宋体"/>
          <w:kern w:val="0"/>
          <w:szCs w:val="21"/>
          <w:lang w:val="en-US" w:eastAsia="zh-CN"/>
        </w:rPr>
        <w:t>1</w:t>
      </w:r>
      <w:r>
        <w:rPr>
          <w:rFonts w:hint="eastAsia" w:ascii="宋体" w:hAnsi="宋体" w:cs="宋体"/>
          <w:kern w:val="0"/>
          <w:szCs w:val="21"/>
        </w:rPr>
        <w:t>个关键测量过程：</w:t>
      </w:r>
      <w:r>
        <w:rPr>
          <w:rFonts w:hint="eastAsia" w:hAnsi="宋体"/>
          <w:color w:val="000000"/>
          <w:kern w:val="2"/>
          <w:sz w:val="21"/>
          <w:szCs w:val="21"/>
          <w:lang w:val="en-US" w:eastAsia="zh-CN" w:bidi="ar-SA"/>
        </w:rPr>
        <w:t>胶砂配合比称重</w:t>
      </w:r>
      <w:r>
        <w:rPr>
          <w:rFonts w:hint="eastAsia" w:ascii="宋体" w:hAnsi="宋体"/>
          <w:szCs w:val="21"/>
          <w:lang w:eastAsia="zh-CN"/>
        </w:rPr>
        <w:t>，</w:t>
      </w:r>
      <w:r>
        <w:rPr>
          <w:rFonts w:hint="eastAsia" w:ascii="宋体" w:hAnsi="宋体" w:cs="宋体"/>
          <w:kern w:val="0"/>
          <w:szCs w:val="21"/>
        </w:rPr>
        <w:t>体系运行一年来未有新增</w:t>
      </w:r>
      <w:r>
        <w:rPr>
          <w:rFonts w:hint="eastAsia" w:ascii="宋体" w:hAnsi="宋体" w:cs="宋体"/>
          <w:color w:val="000000"/>
          <w:kern w:val="0"/>
          <w:szCs w:val="21"/>
        </w:rPr>
        <w:t>测量过程</w:t>
      </w:r>
      <w:r>
        <w:rPr>
          <w:rFonts w:hint="eastAsia" w:ascii="宋体" w:hAnsi="宋体" w:cs="宋体"/>
          <w:color w:val="000000"/>
          <w:kern w:val="0"/>
          <w:szCs w:val="21"/>
          <w:lang w:eastAsia="zh-CN"/>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胶砂配合比称重</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胶砂配合比称重</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胶砂配合比称重</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对认证审核时提出的的不符合项的纠正措施情况有表述：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rPr>
        <w:t>公司已针对上一年度开具的不符合项已采取有效措施，已关闭。</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rPr>
        <w:t>6.对投诉的处理情况：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numPr>
          <w:ilvl w:val="0"/>
          <w:numId w:val="1"/>
        </w:numPr>
        <w:spacing w:line="276" w:lineRule="auto"/>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按</w:t>
      </w:r>
      <w:r>
        <w:rPr>
          <w:rFonts w:hint="eastAsia" w:asciiTheme="minorEastAsia" w:hAnsiTheme="minorEastAsia"/>
          <w:bCs/>
          <w:szCs w:val="21"/>
        </w:rPr>
        <w:t>《目标管理程序》</w:t>
      </w:r>
      <w:r>
        <w:rPr>
          <w:rFonts w:hint="eastAsia" w:asciiTheme="minorEastAsia" w:hAnsiTheme="minorEastAsia"/>
          <w:bCs/>
          <w:szCs w:val="21"/>
          <w:lang w:val="en-US" w:eastAsia="zh-CN"/>
        </w:rPr>
        <w:t>的要求</w:t>
      </w:r>
      <w:r>
        <w:rPr>
          <w:rFonts w:hint="eastAsia" w:asciiTheme="minorEastAsia" w:hAnsiTheme="minorEastAsia"/>
          <w:bCs/>
          <w:szCs w:val="21"/>
        </w:rPr>
        <w:t>，公司规定了计量方针及</w:t>
      </w:r>
      <w:r>
        <w:rPr>
          <w:rFonts w:hint="eastAsia" w:asciiTheme="minorEastAsia" w:hAnsiTheme="minorEastAsia"/>
          <w:bCs/>
          <w:szCs w:val="21"/>
          <w:lang w:val="en-US" w:eastAsia="zh-CN"/>
        </w:rPr>
        <w:t>5</w:t>
      </w:r>
      <w:r>
        <w:rPr>
          <w:rFonts w:hint="eastAsia" w:asciiTheme="minorEastAsia" w:hAnsiTheme="minorEastAsia"/>
          <w:bCs/>
          <w:szCs w:val="21"/>
        </w:rPr>
        <w:t>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bCs/>
          <w:szCs w:val="21"/>
        </w:rPr>
      </w:pPr>
      <w:r>
        <w:rPr>
          <w:rFonts w:hint="eastAsia" w:asciiTheme="minorEastAsia" w:hAnsiTheme="minorEastAsia"/>
          <w:bCs/>
          <w:szCs w:val="21"/>
          <w:lang w:val="en-US" w:eastAsia="zh-CN"/>
        </w:rPr>
        <w:t>10.</w:t>
      </w:r>
      <w:r>
        <w:rPr>
          <w:rFonts w:hint="eastAsia" w:asciiTheme="minorEastAsia" w:hAnsiTheme="minorEastAsia"/>
          <w:bCs/>
          <w:szCs w:val="21"/>
        </w:rPr>
        <w:t>标志的使用和（或）任何其他对认证资格引用的情况：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asciiTheme="minorEastAsia" w:hAnsiTheme="minorEastAsia"/>
          <w:bCs/>
          <w:szCs w:val="21"/>
        </w:rPr>
      </w:pPr>
      <w:r>
        <w:rPr>
          <w:rFonts w:hint="eastAsia" w:asciiTheme="minorEastAsia" w:hAnsiTheme="minorEastAsia"/>
          <w:bCs/>
          <w:szCs w:val="21"/>
        </w:rPr>
        <w:t>该公司已按要求北京国标联合认证有限公司要求正确使用标志和证书。</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bCs/>
          <w:szCs w:val="21"/>
        </w:rPr>
      </w:pPr>
      <w:r>
        <w:rPr>
          <w:rFonts w:hint="eastAsia" w:asciiTheme="minorEastAsia" w:hAnsiTheme="minorEastAsia"/>
          <w:bCs/>
          <w:szCs w:val="21"/>
        </w:rPr>
        <w:t>1</w:t>
      </w:r>
      <w:r>
        <w:rPr>
          <w:rFonts w:hint="eastAsia" w:asciiTheme="minorEastAsia" w:hAnsiTheme="minorEastAsia"/>
          <w:bCs/>
          <w:szCs w:val="21"/>
          <w:lang w:val="en-US" w:eastAsia="zh-CN"/>
        </w:rPr>
        <w:t>1</w:t>
      </w:r>
      <w:r>
        <w:rPr>
          <w:rFonts w:hint="eastAsia" w:asciiTheme="minorEastAsia" w:hAnsiTheme="minorEastAsia"/>
          <w:bCs/>
          <w:szCs w:val="21"/>
        </w:rPr>
        <w:t xml:space="preserve"> 本次监督审核</w:t>
      </w:r>
      <w:r>
        <w:rPr>
          <w:rFonts w:hint="eastAsia" w:asciiTheme="minorEastAsia" w:hAnsiTheme="minorEastAsia"/>
          <w:bCs/>
          <w:szCs w:val="21"/>
          <w:lang w:val="en-US" w:eastAsia="zh-CN"/>
        </w:rPr>
        <w:t>发现</w:t>
      </w:r>
      <w:r>
        <w:rPr>
          <w:rFonts w:hint="eastAsia" w:asciiTheme="minorEastAsia" w:hAnsiTheme="minorEastAsia"/>
          <w:bCs/>
          <w:szCs w:val="21"/>
        </w:rPr>
        <w:t>不符合项</w:t>
      </w:r>
      <w:r>
        <w:rPr>
          <w:rFonts w:hint="eastAsia" w:asciiTheme="minorEastAsia" w:hAnsiTheme="minorEastAsia"/>
          <w:bCs/>
          <w:szCs w:val="21"/>
          <w:lang w:val="en-US" w:eastAsia="zh-CN"/>
        </w:rPr>
        <w:t>1项</w:t>
      </w:r>
      <w:r>
        <w:rPr>
          <w:rFonts w:hint="eastAsia" w:asciiTheme="minorEastAsia" w:hAnsiTheme="minorEastAsia"/>
          <w:bCs/>
          <w:szCs w:val="21"/>
        </w:rPr>
        <w:t>，未发现严重的或系统性的不符合情况：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default" w:asciiTheme="minorEastAsia" w:hAnsiTheme="minorEastAsia"/>
          <w:bCs/>
          <w:szCs w:val="21"/>
          <w:lang w:val="en-US" w:eastAsia="zh-CN"/>
        </w:rPr>
      </w:pPr>
      <w:r>
        <w:rPr>
          <w:rFonts w:hint="eastAsia" w:asciiTheme="minorEastAsia" w:hAnsiTheme="minorEastAsia"/>
          <w:bCs/>
          <w:szCs w:val="21"/>
          <w:lang w:val="en-US" w:eastAsia="zh-CN"/>
        </w:rPr>
        <w:t>11.1</w:t>
      </w:r>
      <w:r>
        <w:rPr>
          <w:rFonts w:hint="eastAsia" w:ascii="宋体" w:hAnsi="宋体"/>
          <w:color w:val="000000" w:themeColor="text1"/>
          <w:szCs w:val="21"/>
          <w:lang w:val="en-US" w:eastAsia="zh-CN"/>
        </w:rPr>
        <w:t>查</w:t>
      </w:r>
      <w:r>
        <w:rPr>
          <w:rFonts w:hint="eastAsia" w:ascii="宋体" w:hAnsi="宋体"/>
          <w:kern w:val="2"/>
          <w:sz w:val="21"/>
          <w:szCs w:val="21"/>
          <w:lang w:val="en-US" w:eastAsia="zh-CN" w:bidi="ar-SA"/>
        </w:rPr>
        <w:t>综合办公室，</w:t>
      </w:r>
      <w:r>
        <w:rPr>
          <w:rFonts w:hint="eastAsia" w:ascii="宋体" w:hAnsi="宋体"/>
          <w:color w:val="000000" w:themeColor="text1"/>
          <w:szCs w:val="21"/>
        </w:rPr>
        <w:t>测量管理体系内审资料</w:t>
      </w:r>
      <w:r>
        <w:rPr>
          <w:rFonts w:hint="eastAsia" w:ascii="宋体" w:hAnsi="宋体"/>
          <w:color w:val="000000" w:themeColor="text1"/>
          <w:szCs w:val="21"/>
          <w:lang w:val="en-US" w:eastAsia="zh-CN"/>
        </w:rPr>
        <w:t>时发现</w:t>
      </w:r>
      <w:r>
        <w:rPr>
          <w:rFonts w:hint="eastAsia" w:ascii="宋体" w:hAnsi="宋体"/>
          <w:color w:val="000000" w:themeColor="text1"/>
          <w:szCs w:val="21"/>
        </w:rPr>
        <w:t>，参加内审的</w:t>
      </w:r>
      <w:r>
        <w:rPr>
          <w:rFonts w:hint="eastAsia" w:ascii="宋体" w:hAnsi="宋体"/>
          <w:color w:val="000000" w:themeColor="text1"/>
          <w:szCs w:val="21"/>
          <w:lang w:val="en-US" w:eastAsia="zh-CN"/>
        </w:rPr>
        <w:t>2</w:t>
      </w:r>
      <w:r>
        <w:rPr>
          <w:rFonts w:hint="eastAsia" w:ascii="宋体" w:hAnsi="宋体"/>
          <w:color w:val="000000" w:themeColor="text1"/>
          <w:szCs w:val="21"/>
        </w:rPr>
        <w:t>名内审员</w:t>
      </w:r>
      <w:r>
        <w:rPr>
          <w:rFonts w:hint="eastAsia" w:ascii="宋体" w:hAnsi="宋体"/>
          <w:color w:val="000000" w:themeColor="text1"/>
          <w:szCs w:val="21"/>
          <w:lang w:val="en-US" w:eastAsia="zh-CN"/>
        </w:rPr>
        <w:t>未见到</w:t>
      </w:r>
      <w:r>
        <w:rPr>
          <w:rFonts w:hint="eastAsia" w:ascii="宋体" w:hAnsi="宋体"/>
          <w:color w:val="000000" w:themeColor="text1"/>
          <w:szCs w:val="21"/>
        </w:rPr>
        <w:t>培训</w:t>
      </w:r>
      <w:r>
        <w:rPr>
          <w:rFonts w:hint="eastAsia" w:ascii="宋体" w:hAnsi="宋体"/>
          <w:color w:val="000000" w:themeColor="text1"/>
          <w:szCs w:val="21"/>
          <w:lang w:val="en-US" w:eastAsia="zh-CN"/>
        </w:rPr>
        <w:t>记录</w:t>
      </w:r>
      <w:r>
        <w:rPr>
          <w:rFonts w:hint="eastAsia" w:ascii="宋体" w:hAnsi="宋体"/>
          <w:color w:val="000000" w:themeColor="text1"/>
          <w:szCs w:val="21"/>
          <w:lang w:eastAsia="zh-CN"/>
        </w:rPr>
        <w:t>，</w:t>
      </w:r>
      <w:r>
        <w:rPr>
          <w:rFonts w:hint="eastAsia" w:asciiTheme="minorEastAsia" w:hAnsiTheme="minorEastAsia"/>
          <w:bCs/>
          <w:szCs w:val="21"/>
          <w:lang w:val="en-US" w:eastAsia="zh-CN"/>
        </w:rPr>
        <w:t>不符合</w:t>
      </w:r>
      <w:r>
        <w:rPr>
          <w:rFonts w:hint="eastAsia" w:asciiTheme="minorEastAsia" w:hAnsiTheme="minorEastAsia"/>
          <w:bCs/>
          <w:szCs w:val="21"/>
        </w:rPr>
        <w:t>GB/T 19022-2003标准</w:t>
      </w:r>
      <w:r>
        <w:rPr>
          <w:rFonts w:hint="eastAsia" w:asciiTheme="minorEastAsia" w:hAnsiTheme="minorEastAsia"/>
          <w:bCs/>
          <w:szCs w:val="21"/>
          <w:lang w:val="en-US" w:eastAsia="zh-CN"/>
        </w:rPr>
        <w:t>6.1.2条款的要求。</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b/>
          <w:bCs w:val="0"/>
          <w:szCs w:val="21"/>
        </w:rPr>
      </w:pPr>
      <w:r>
        <w:rPr>
          <w:rFonts w:hint="eastAsia" w:asciiTheme="minorEastAsia" w:hAnsiTheme="minorEastAsia"/>
          <w:b/>
          <w:bCs w:val="0"/>
          <w:szCs w:val="21"/>
        </w:rPr>
        <w:t>三、监督审核结论意见(含需要说明的事项):</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color w:val="000000" w:themeColor="text1"/>
          <w:sz w:val="2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20</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9</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一天的时间</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ascii="宋体" w:hAnsi="宋体" w:eastAsia="宋体"/>
          <w:szCs w:val="21"/>
          <w:lang w:eastAsia="zh-CN"/>
        </w:rPr>
        <w:t>西安锦晟建材有限公司</w:t>
      </w:r>
      <w:r>
        <w:rPr>
          <w:rStyle w:val="10"/>
          <w:rFonts w:ascii="宋体" w:hAnsi="宋体" w:eastAsia="宋体"/>
          <w:color w:val="000000" w:themeColor="text1"/>
          <w:sz w:val="21"/>
          <w:szCs w:val="21"/>
        </w:rPr>
        <w:t>测量管理</w:t>
      </w:r>
      <w:r>
        <w:rPr>
          <w:rStyle w:val="10"/>
          <w:rFonts w:hint="eastAsia" w:ascii="宋体" w:hAnsi="宋体" w:eastAsia="宋体"/>
          <w:color w:val="000000" w:themeColor="text1"/>
          <w:sz w:val="21"/>
          <w:szCs w:val="21"/>
          <w:lang w:eastAsia="zh-CN"/>
        </w:rPr>
        <w:t>体系</w:t>
      </w:r>
      <w:r>
        <w:rPr>
          <w:rStyle w:val="10"/>
          <w:rFonts w:ascii="宋体" w:hAnsi="宋体" w:eastAsia="宋体"/>
          <w:color w:val="000000" w:themeColor="text1"/>
          <w:sz w:val="21"/>
          <w:szCs w:val="21"/>
        </w:rPr>
        <w:t>现场</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w:t>
      </w:r>
      <w:r>
        <w:rPr>
          <w:rFonts w:hint="eastAsia" w:asciiTheme="minorEastAsia" w:hAnsiTheme="minorEastAsia"/>
          <w:bCs/>
          <w:color w:val="000000" w:themeColor="text1"/>
          <w:sz w:val="21"/>
          <w:szCs w:val="21"/>
          <w:lang w:val="en-US" w:eastAsia="zh-CN"/>
        </w:rPr>
        <w:t>该</w:t>
      </w:r>
      <w:r>
        <w:rPr>
          <w:rFonts w:hint="eastAsia" w:asciiTheme="minorEastAsia" w:hAnsiTheme="minorEastAsia"/>
          <w:bCs/>
          <w:color w:val="000000" w:themeColor="text1"/>
          <w:sz w:val="21"/>
          <w:szCs w:val="21"/>
        </w:rPr>
        <w:t>公司在测量管理体系实现认证后，</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宋体" w:hAnsi="宋体" w:eastAsia="宋体"/>
          <w:szCs w:val="21"/>
          <w:lang w:eastAsia="zh-CN"/>
        </w:rPr>
        <w:t>西安锦晟建材有限公司</w:t>
      </w:r>
      <w:r>
        <w:rPr>
          <w:rFonts w:hint="eastAsia" w:ascii="宋体" w:hAnsi="宋体"/>
          <w:color w:val="000000" w:themeColor="text1"/>
          <w:sz w:val="21"/>
          <w:szCs w:val="21"/>
        </w:rPr>
        <w:t>测量管理体系，符合GB/T 19022-2003标准要求，对体系运行具有持续的有效性、符合性予以肯定。建议报请国标联合认证有限公司批准通过监督审核。</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numPr>
          <w:ilvl w:val="0"/>
          <w:numId w:val="0"/>
        </w:numPr>
        <w:spacing w:line="276" w:lineRule="auto"/>
        <w:ind w:right="1050" w:rightChars="0"/>
        <w:rPr>
          <w:rFonts w:ascii="宋体" w:hAnsi="宋体" w:eastAsia="宋体" w:cs="宋体"/>
          <w:kern w:val="0"/>
          <w:szCs w:val="28"/>
        </w:rPr>
      </w:pPr>
      <w:r>
        <w:rPr>
          <w:rFonts w:hint="eastAsia" w:ascii="宋体" w:hAnsi="宋体" w:eastAsia="宋体" w:cs="宋体"/>
          <w:b/>
          <w:bCs/>
          <w:kern w:val="0"/>
          <w:szCs w:val="21"/>
          <w:lang w:val="en-US" w:eastAsia="zh-CN"/>
        </w:rPr>
        <w:t>五、</w:t>
      </w:r>
      <w:r>
        <w:rPr>
          <w:rFonts w:hint="eastAsia" w:ascii="宋体" w:hAnsi="宋体" w:eastAsia="宋体" w:cs="宋体"/>
          <w:b/>
          <w:bCs/>
          <w:kern w:val="0"/>
          <w:szCs w:val="21"/>
        </w:rPr>
        <w:t>认证机构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p>
    <w:p>
      <w:pPr>
        <w:widowControl/>
        <w:numPr>
          <w:ilvl w:val="0"/>
          <w:numId w:val="0"/>
        </w:numPr>
        <w:spacing w:line="276" w:lineRule="auto"/>
        <w:ind w:right="1050" w:rightChars="0" w:firstLine="630" w:firstLineChars="300"/>
        <w:rPr>
          <w:rFonts w:ascii="宋体" w:hAnsi="宋体" w:eastAsia="宋体" w:cs="宋体"/>
          <w:kern w:val="0"/>
          <w:szCs w:val="28"/>
        </w:rPr>
      </w:pPr>
    </w:p>
    <w:p>
      <w:pPr>
        <w:widowControl/>
        <w:numPr>
          <w:ilvl w:val="0"/>
          <w:numId w:val="0"/>
        </w:numPr>
        <w:spacing w:line="276" w:lineRule="auto"/>
        <w:ind w:right="1050" w:rightChars="0" w:firstLine="630" w:firstLineChars="300"/>
        <w:rPr>
          <w:rFonts w:ascii="宋体" w:hAnsi="宋体" w:eastAsia="宋体" w:cs="宋体"/>
          <w:kern w:val="0"/>
          <w:szCs w:val="28"/>
        </w:rPr>
      </w:pPr>
    </w:p>
    <w:p>
      <w:pPr>
        <w:widowControl/>
        <w:numPr>
          <w:ilvl w:val="0"/>
          <w:numId w:val="0"/>
        </w:numPr>
        <w:spacing w:line="276" w:lineRule="auto"/>
        <w:ind w:right="1050" w:rightChars="0" w:firstLine="6300" w:firstLineChars="3000"/>
        <w:rPr>
          <w:rFonts w:ascii="宋体" w:hAnsi="宋体" w:eastAsia="宋体" w:cs="宋体"/>
          <w:kern w:val="0"/>
          <w:szCs w:val="28"/>
        </w:rPr>
      </w:pP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6B3F0"/>
    <w:multiLevelType w:val="singleLevel"/>
    <w:tmpl w:val="7CF6B3F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0A0DA5"/>
    <w:rsid w:val="23AC0B03"/>
    <w:rsid w:val="26226291"/>
    <w:rsid w:val="2D633392"/>
    <w:rsid w:val="572429D7"/>
    <w:rsid w:val="6A6919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18</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2020-11-09T07:52:17Z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