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0175-2019-2020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80"/>
        <w:gridCol w:w="1270"/>
        <w:gridCol w:w="600"/>
        <w:gridCol w:w="520"/>
        <w:gridCol w:w="1450"/>
        <w:gridCol w:w="1090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r>
              <w:rPr>
                <w:rFonts w:hint="eastAsia"/>
                <w:szCs w:val="21"/>
              </w:rPr>
              <w:t>胶砂配合比称重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450±2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1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19" w:type="dxa"/>
            <w:gridSpan w:val="5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GB/T17671-1999  《水泥胶砂强度检验方法（ISO法）》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胶砂配合比称重范围为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g，根据 《水泥胶砂强度检验方法（ISO法）》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6.1配合比的要求，</w:t>
            </w:r>
            <w:r>
              <w:rPr>
                <w:rFonts w:hint="eastAsia"/>
                <w:szCs w:val="21"/>
              </w:rPr>
              <w:t>测量允许误差△允=T×（1/3～1/10）</w:t>
            </w:r>
            <w:r>
              <w:rPr>
                <w:rFonts w:hint="eastAsia"/>
                <w:szCs w:val="21"/>
                <w:lang w:val="en-US" w:eastAsia="zh-CN"/>
              </w:rPr>
              <w:t>=0.2</w:t>
            </w:r>
            <w:r>
              <w:rPr>
                <w:rFonts w:hint="eastAsia"/>
                <w:szCs w:val="21"/>
              </w:rPr>
              <w:t>g。（取1/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1、测量设备的量程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配合比的水泥称重 要求</w:t>
            </w:r>
            <w:r>
              <w:rPr>
                <w:rFonts w:hint="eastAsia"/>
                <w:szCs w:val="21"/>
              </w:rPr>
              <w:t>范围为（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）g，选用的量程为0-2</w:t>
            </w:r>
            <w:r>
              <w:rPr>
                <w:rFonts w:hint="eastAsia"/>
                <w:szCs w:val="21"/>
                <w:lang w:val="en-US" w:eastAsia="zh-CN"/>
              </w:rPr>
              <w:t>000</w:t>
            </w:r>
            <w:r>
              <w:rPr>
                <w:rFonts w:hint="eastAsia"/>
                <w:szCs w:val="21"/>
              </w:rPr>
              <w:t>g。</w:t>
            </w:r>
          </w:p>
          <w:p>
            <w:pPr>
              <w:spacing w:line="240" w:lineRule="auto"/>
              <w:ind w:firstLine="411" w:firstLineChars="19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2、测量设备的准确度等级要求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公司配置的电子天平是Ⅱ级，最大允许误差±0.0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ind w:firstLine="420" w:firstLineChars="2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9020771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KD-2000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Ⅱ级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812149211-001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20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  <w:tc>
          <w:tcPr>
            <w:tcW w:w="1120" w:type="dxa"/>
            <w:gridSpan w:val="2"/>
            <w:noWrap w:val="0"/>
            <w:vAlign w:val="top"/>
          </w:tcPr>
          <w:p/>
        </w:tc>
        <w:tc>
          <w:tcPr>
            <w:tcW w:w="1450" w:type="dxa"/>
            <w:noWrap w:val="0"/>
            <w:vAlign w:val="top"/>
          </w:tcPr>
          <w:p/>
        </w:tc>
        <w:tc>
          <w:tcPr>
            <w:tcW w:w="1657" w:type="dxa"/>
            <w:gridSpan w:val="2"/>
            <w:noWrap w:val="0"/>
            <w:vAlign w:val="top"/>
          </w:tcPr>
          <w:p/>
        </w:tc>
        <w:tc>
          <w:tcPr>
            <w:tcW w:w="15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szCs w:val="21"/>
              </w:rPr>
              <w:t>0-2</w:t>
            </w:r>
            <w:r>
              <w:rPr>
                <w:rFonts w:hint="eastAsia"/>
                <w:szCs w:val="21"/>
                <w:lang w:val="en-US" w:eastAsia="zh-CN"/>
              </w:rPr>
              <w:t>000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6A73BA"/>
    <w:rsid w:val="4B3F6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2020-11-09T05:34:05Z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