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rPr>
          <w:rFonts w:hint="default" w:eastAsiaTheme="minorEastAsia"/>
          <w:b/>
          <w:bCs/>
          <w:sz w:val="30"/>
          <w:szCs w:val="30"/>
          <w:lang w:val="en-US" w:eastAsia="zh-CN"/>
        </w:rPr>
      </w:pPr>
      <w:r>
        <w:rPr>
          <w:rFonts w:hint="eastAsia" w:ascii="宋体" w:hAnsi="宋体"/>
          <w:sz w:val="32"/>
        </w:rPr>
        <w:t xml:space="preserve">认 证 企 业 </w:t>
      </w:r>
      <w:r>
        <w:rPr>
          <w:rFonts w:hint="eastAsia" w:ascii="MS PGothic" w:hAnsi="MS PGothic"/>
          <w:sz w:val="32"/>
        </w:rPr>
        <w:t>：</w:t>
      </w:r>
      <w:bookmarkStart w:id="1" w:name="组织名称"/>
      <w:r>
        <w:rPr>
          <w:rFonts w:hint="eastAsia" w:ascii="宋体" w:hAnsi="宋体"/>
          <w:b/>
          <w:bCs/>
          <w:sz w:val="30"/>
          <w:szCs w:val="30"/>
          <w:u w:val="single"/>
        </w:rPr>
        <w:t>上海凯科阀门制造有限公司</w:t>
      </w:r>
      <w:bookmarkEnd w:id="1"/>
      <w:r>
        <w:rPr>
          <w:rFonts w:hint="eastAsia" w:ascii="宋体" w:hAnsi="宋体"/>
          <w:b/>
          <w:bCs/>
          <w:sz w:val="30"/>
          <w:szCs w:val="30"/>
          <w:u w:val="single"/>
          <w:lang w:val="en-US" w:eastAsia="zh-CN"/>
        </w:rPr>
        <w:t xml:space="preserve">   </w:t>
      </w:r>
    </w:p>
    <w:p>
      <w:pPr>
        <w:spacing w:line="360" w:lineRule="auto"/>
        <w:jc w:val="left"/>
        <w:rPr>
          <w:rFonts w:hint="default" w:ascii="宋体" w:hAnsi="宋体" w:eastAsia="宋体"/>
          <w:spacing w:val="80"/>
          <w:sz w:val="32"/>
          <w:lang w:val="en-US" w:eastAsia="zh-CN"/>
        </w:rPr>
      </w:pPr>
      <w:r>
        <w:rPr>
          <w:rFonts w:hint="eastAsia" w:ascii="宋体" w:hAnsi="宋体"/>
          <w:spacing w:val="80"/>
          <w:sz w:val="32"/>
        </w:rPr>
        <w:t>编   号</w:t>
      </w:r>
      <w:bookmarkStart w:id="2" w:name="合同编号"/>
      <w:r>
        <w:rPr>
          <w:rFonts w:hint="eastAsia" w:ascii="宋体" w:hAnsi="宋体"/>
          <w:spacing w:val="80"/>
          <w:sz w:val="32"/>
        </w:rPr>
        <w:t>:</w:t>
      </w:r>
      <w:r>
        <w:rPr>
          <w:rFonts w:hint="eastAsia" w:ascii="宋体" w:hAnsi="宋体"/>
          <w:sz w:val="32"/>
        </w:rPr>
        <w:t xml:space="preserve"> </w:t>
      </w:r>
      <w:bookmarkEnd w:id="2"/>
      <w:r>
        <w:rPr>
          <w:rFonts w:hint="eastAsia" w:ascii="宋体" w:hAnsi="宋体" w:eastAsia="宋体" w:cs="宋体"/>
          <w:b/>
          <w:bCs/>
          <w:sz w:val="30"/>
          <w:szCs w:val="30"/>
          <w:u w:val="single"/>
        </w:rPr>
        <w:t>0070-2016-2020</w:t>
      </w:r>
      <w:r>
        <w:rPr>
          <w:rFonts w:hint="eastAsia" w:ascii="宋体" w:hAnsi="宋体" w:eastAsia="宋体" w:cs="宋体"/>
          <w:b/>
          <w:bCs/>
          <w:sz w:val="30"/>
          <w:szCs w:val="30"/>
          <w:u w:val="single"/>
          <w:lang w:val="en-US" w:eastAsia="zh-CN"/>
        </w:rPr>
        <w:t xml:space="preserve">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 xml:space="preserve">年度监督审核       </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编号：</w:t>
      </w:r>
      <w:r>
        <w:rPr>
          <w:rFonts w:hint="eastAsia"/>
          <w:szCs w:val="21"/>
          <w:u w:val="single"/>
        </w:rPr>
        <w:t>0070-2016-2020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企业名称</w:t>
            </w:r>
          </w:p>
        </w:tc>
        <w:tc>
          <w:tcPr>
            <w:tcW w:w="311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上海凯科阀门制造有限公司</w:t>
            </w:r>
          </w:p>
        </w:tc>
        <w:tc>
          <w:tcPr>
            <w:tcW w:w="1984"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企业联系人</w:t>
            </w:r>
          </w:p>
        </w:tc>
        <w:tc>
          <w:tcPr>
            <w:tcW w:w="1559" w:type="dxa"/>
          </w:tcPr>
          <w:p>
            <w:pPr>
              <w:widowControl/>
              <w:spacing w:line="360" w:lineRule="auto"/>
              <w:rPr>
                <w:rFonts w:hint="default" w:asciiTheme="majorEastAsia" w:hAnsiTheme="majorEastAsia" w:eastAsiaTheme="majorEastAsia" w:cstheme="majorEastAsia"/>
                <w:bCs/>
                <w:kern w:val="0"/>
                <w:sz w:val="24"/>
                <w:szCs w:val="24"/>
                <w:lang w:val="en-US" w:eastAsia="zh-CN"/>
              </w:rPr>
            </w:pPr>
            <w:r>
              <w:rPr>
                <w:rFonts w:hint="eastAsia" w:asciiTheme="majorEastAsia" w:hAnsiTheme="majorEastAsia" w:eastAsiaTheme="majorEastAsia" w:cstheme="majorEastAsia"/>
                <w:bCs/>
                <w:kern w:val="0"/>
                <w:sz w:val="24"/>
                <w:szCs w:val="24"/>
                <w:lang w:val="en-US" w:eastAsia="zh-CN"/>
              </w:rPr>
              <w:t>李改婷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认证证书编号</w:t>
            </w:r>
          </w:p>
        </w:tc>
        <w:tc>
          <w:tcPr>
            <w:tcW w:w="3119" w:type="dxa"/>
          </w:tcPr>
          <w:p>
            <w:pPr>
              <w:widowControl/>
              <w:spacing w:line="360" w:lineRule="auto"/>
              <w:rPr>
                <w:rFonts w:hint="default" w:asciiTheme="majorEastAsia" w:hAnsiTheme="majorEastAsia" w:eastAsiaTheme="majorEastAsia" w:cstheme="majorEastAsia"/>
                <w:bCs/>
                <w:kern w:val="0"/>
                <w:sz w:val="24"/>
                <w:szCs w:val="24"/>
                <w:lang w:val="en-US" w:eastAsia="zh-CN"/>
              </w:rPr>
            </w:pPr>
            <w:bookmarkStart w:id="3" w:name="证书编号"/>
            <w:r>
              <w:rPr>
                <w:rFonts w:hint="eastAsia" w:asciiTheme="majorEastAsia" w:hAnsiTheme="majorEastAsia" w:eastAsiaTheme="majorEastAsia" w:cstheme="majorEastAsia"/>
                <w:bCs/>
                <w:kern w:val="0"/>
                <w:sz w:val="24"/>
                <w:szCs w:val="24"/>
              </w:rPr>
              <w:t>ISC-201</w:t>
            </w:r>
            <w:r>
              <w:rPr>
                <w:rFonts w:hint="eastAsia" w:asciiTheme="majorEastAsia" w:hAnsiTheme="majorEastAsia" w:eastAsiaTheme="majorEastAsia" w:cstheme="majorEastAsia"/>
                <w:bCs/>
                <w:kern w:val="0"/>
                <w:sz w:val="24"/>
                <w:szCs w:val="24"/>
                <w:lang w:val="en-US" w:eastAsia="zh-CN"/>
              </w:rPr>
              <w:t>6</w:t>
            </w:r>
            <w:r>
              <w:rPr>
                <w:rFonts w:hint="eastAsia" w:asciiTheme="majorEastAsia" w:hAnsiTheme="majorEastAsia" w:eastAsiaTheme="majorEastAsia" w:cstheme="majorEastAsia"/>
                <w:bCs/>
                <w:kern w:val="0"/>
                <w:sz w:val="24"/>
                <w:szCs w:val="24"/>
              </w:rPr>
              <w:t>-0</w:t>
            </w:r>
            <w:bookmarkEnd w:id="3"/>
            <w:r>
              <w:rPr>
                <w:rFonts w:hint="eastAsia" w:asciiTheme="majorEastAsia" w:hAnsiTheme="majorEastAsia" w:eastAsiaTheme="majorEastAsia" w:cstheme="majorEastAsia"/>
                <w:bCs/>
                <w:kern w:val="0"/>
                <w:sz w:val="24"/>
                <w:szCs w:val="24"/>
                <w:lang w:val="en-US" w:eastAsia="zh-CN"/>
              </w:rPr>
              <w:t>061</w:t>
            </w:r>
          </w:p>
        </w:tc>
        <w:tc>
          <w:tcPr>
            <w:tcW w:w="1984"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证书有效期</w:t>
            </w:r>
          </w:p>
        </w:tc>
        <w:tc>
          <w:tcPr>
            <w:tcW w:w="1559" w:type="dxa"/>
          </w:tcPr>
          <w:p>
            <w:pPr>
              <w:widowControl/>
              <w:spacing w:line="360" w:lineRule="auto"/>
              <w:rPr>
                <w:rFonts w:hint="default" w:asciiTheme="majorEastAsia" w:hAnsiTheme="majorEastAsia" w:eastAsiaTheme="majorEastAsia" w:cstheme="majorEastAsia"/>
                <w:bCs/>
                <w:kern w:val="0"/>
                <w:sz w:val="24"/>
                <w:szCs w:val="24"/>
                <w:lang w:val="en-US" w:eastAsia="zh-CN"/>
              </w:rPr>
            </w:pPr>
            <w:r>
              <w:rPr>
                <w:rFonts w:hint="eastAsia" w:asciiTheme="majorEastAsia" w:hAnsiTheme="majorEastAsia" w:eastAsiaTheme="majorEastAsia" w:cstheme="majorEastAsia"/>
                <w:bCs/>
                <w:kern w:val="0"/>
                <w:sz w:val="24"/>
                <w:szCs w:val="24"/>
              </w:rPr>
              <w:t>202</w:t>
            </w:r>
            <w:r>
              <w:rPr>
                <w:rFonts w:hint="eastAsia" w:asciiTheme="majorEastAsia" w:hAnsiTheme="majorEastAsia" w:eastAsiaTheme="majorEastAsia" w:cstheme="majorEastAsia"/>
                <w:bCs/>
                <w:kern w:val="0"/>
                <w:sz w:val="24"/>
                <w:szCs w:val="24"/>
                <w:lang w:val="en-US" w:eastAsia="zh-CN"/>
              </w:rPr>
              <w:t>1</w:t>
            </w:r>
            <w:r>
              <w:rPr>
                <w:rFonts w:hint="eastAsia" w:asciiTheme="majorEastAsia" w:hAnsiTheme="majorEastAsia" w:eastAsiaTheme="majorEastAsia" w:cstheme="majorEastAsia"/>
                <w:bCs/>
                <w:kern w:val="0"/>
                <w:sz w:val="24"/>
                <w:szCs w:val="24"/>
              </w:rPr>
              <w:t>-</w:t>
            </w:r>
            <w:r>
              <w:rPr>
                <w:rFonts w:hint="eastAsia" w:asciiTheme="majorEastAsia" w:hAnsiTheme="majorEastAsia" w:eastAsiaTheme="majorEastAsia" w:cstheme="majorEastAsia"/>
                <w:bCs/>
                <w:kern w:val="0"/>
                <w:sz w:val="24"/>
                <w:szCs w:val="24"/>
                <w:lang w:val="en-US" w:eastAsia="zh-CN"/>
              </w:rPr>
              <w:t>11</w:t>
            </w:r>
            <w:r>
              <w:rPr>
                <w:rFonts w:hint="eastAsia" w:asciiTheme="majorEastAsia" w:hAnsiTheme="majorEastAsia" w:eastAsiaTheme="majorEastAsia" w:cstheme="majorEastAsia"/>
                <w:bCs/>
                <w:kern w:val="0"/>
                <w:sz w:val="24"/>
                <w:szCs w:val="24"/>
              </w:rPr>
              <w:t>-</w:t>
            </w:r>
            <w:r>
              <w:rPr>
                <w:rFonts w:hint="eastAsia" w:asciiTheme="majorEastAsia" w:hAnsiTheme="majorEastAsia" w:eastAsiaTheme="majorEastAsia" w:cstheme="majorEastAsia"/>
                <w:bCs/>
                <w:kern w:val="0"/>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84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监督审核次数</w:t>
            </w:r>
          </w:p>
        </w:tc>
        <w:tc>
          <w:tcPr>
            <w:tcW w:w="311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第</w:t>
            </w:r>
            <w:r>
              <w:rPr>
                <w:rFonts w:hint="eastAsia" w:asciiTheme="majorEastAsia" w:hAnsiTheme="majorEastAsia" w:eastAsiaTheme="majorEastAsia" w:cstheme="majorEastAsia"/>
                <w:bCs/>
                <w:kern w:val="0"/>
                <w:sz w:val="24"/>
                <w:szCs w:val="24"/>
                <w:lang w:val="en-US" w:eastAsia="zh-CN"/>
              </w:rPr>
              <w:t>四</w:t>
            </w:r>
            <w:r>
              <w:rPr>
                <w:rFonts w:hint="eastAsia" w:asciiTheme="majorEastAsia" w:hAnsiTheme="majorEastAsia" w:eastAsiaTheme="majorEastAsia" w:cstheme="majorEastAsia"/>
                <w:bCs/>
                <w:kern w:val="0"/>
                <w:sz w:val="24"/>
                <w:szCs w:val="24"/>
              </w:rPr>
              <w:t>次监督审核</w:t>
            </w:r>
          </w:p>
        </w:tc>
        <w:tc>
          <w:tcPr>
            <w:tcW w:w="1984"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本次监督时间</w:t>
            </w:r>
          </w:p>
        </w:tc>
        <w:tc>
          <w:tcPr>
            <w:tcW w:w="155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2020年1</w:t>
            </w:r>
            <w:r>
              <w:rPr>
                <w:rFonts w:hint="eastAsia" w:asciiTheme="majorEastAsia" w:hAnsiTheme="majorEastAsia" w:eastAsiaTheme="majorEastAsia" w:cstheme="majorEastAsia"/>
                <w:bCs/>
                <w:kern w:val="0"/>
                <w:sz w:val="24"/>
                <w:szCs w:val="24"/>
                <w:lang w:val="en-US" w:eastAsia="zh-CN"/>
              </w:rPr>
              <w:t>1</w:t>
            </w:r>
            <w:r>
              <w:rPr>
                <w:rFonts w:hint="eastAsia" w:asciiTheme="majorEastAsia" w:hAnsiTheme="majorEastAsia" w:eastAsiaTheme="majorEastAsia" w:cstheme="majorEastAsia"/>
                <w:bCs/>
                <w:kern w:val="0"/>
                <w:sz w:val="24"/>
                <w:szCs w:val="24"/>
              </w:rPr>
              <w:t>月</w:t>
            </w:r>
            <w:r>
              <w:rPr>
                <w:rFonts w:hint="eastAsia" w:asciiTheme="majorEastAsia" w:hAnsiTheme="majorEastAsia" w:eastAsiaTheme="majorEastAsia" w:cstheme="majorEastAsia"/>
                <w:bCs/>
                <w:kern w:val="0"/>
                <w:sz w:val="24"/>
                <w:szCs w:val="24"/>
                <w:lang w:val="en-US" w:eastAsia="zh-CN"/>
              </w:rPr>
              <w:t>9</w:t>
            </w:r>
            <w:r>
              <w:rPr>
                <w:rFonts w:hint="eastAsia" w:asciiTheme="majorEastAsia" w:hAnsiTheme="majorEastAsia" w:eastAsiaTheme="majorEastAsia" w:cstheme="majorEastAsia"/>
                <w:bCs/>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监督审核员</w:t>
            </w:r>
          </w:p>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姓名及确认号</w:t>
            </w:r>
          </w:p>
        </w:tc>
        <w:tc>
          <w:tcPr>
            <w:tcW w:w="311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黄金荣：中认协评-（2018）249 号</w:t>
            </w:r>
          </w:p>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陈秉桦：中认协评[2020]112号ISC[S]0187</w:t>
            </w:r>
          </w:p>
        </w:tc>
        <w:tc>
          <w:tcPr>
            <w:tcW w:w="1984"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监督审核涉及的区域或部门</w:t>
            </w:r>
          </w:p>
        </w:tc>
        <w:tc>
          <w:tcPr>
            <w:tcW w:w="155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管理层、</w:t>
            </w:r>
            <w:r>
              <w:rPr>
                <w:rFonts w:hint="eastAsia" w:asciiTheme="majorEastAsia" w:hAnsiTheme="majorEastAsia" w:eastAsiaTheme="majorEastAsia" w:cstheme="majorEastAsia"/>
                <w:bCs/>
                <w:kern w:val="0"/>
                <w:sz w:val="24"/>
                <w:szCs w:val="24"/>
                <w:lang w:val="en-US" w:eastAsia="zh-CN"/>
              </w:rPr>
              <w:t>质检部</w:t>
            </w:r>
            <w:r>
              <w:rPr>
                <w:rFonts w:hint="eastAsia" w:asciiTheme="majorEastAsia" w:hAnsiTheme="majorEastAsia" w:eastAsiaTheme="majorEastAsia" w:cstheme="majorEastAsia"/>
                <w:bCs/>
                <w:kern w:val="0"/>
                <w:sz w:val="24"/>
                <w:szCs w:val="24"/>
              </w:rPr>
              <w:t>、</w:t>
            </w:r>
            <w:r>
              <w:rPr>
                <w:rFonts w:hint="eastAsia" w:asciiTheme="majorEastAsia" w:hAnsiTheme="majorEastAsia" w:eastAsiaTheme="majorEastAsia" w:cstheme="majorEastAsia"/>
                <w:bCs/>
                <w:kern w:val="0"/>
                <w:sz w:val="24"/>
                <w:szCs w:val="24"/>
                <w:lang w:val="en-US" w:eastAsia="zh-CN"/>
              </w:rPr>
              <w:t>采购部</w:t>
            </w:r>
            <w:r>
              <w:rPr>
                <w:rFonts w:hint="eastAsia" w:asciiTheme="majorEastAsia" w:hAnsiTheme="majorEastAsia" w:eastAsiaTheme="majorEastAsia" w:cstheme="majorEastAsia"/>
                <w:bCs/>
                <w:kern w:val="0"/>
                <w:sz w:val="24"/>
                <w:szCs w:val="24"/>
              </w:rPr>
              <w:t>、生产</w:t>
            </w:r>
            <w:r>
              <w:rPr>
                <w:rFonts w:hint="eastAsia" w:asciiTheme="majorEastAsia" w:hAnsiTheme="majorEastAsia" w:eastAsiaTheme="majorEastAsia" w:cstheme="majorEastAsia"/>
                <w:bCs/>
                <w:kern w:val="0"/>
                <w:sz w:val="24"/>
                <w:szCs w:val="24"/>
                <w:lang w:val="en-US" w:eastAsia="zh-CN"/>
              </w:rPr>
              <w:t>部 。</w:t>
            </w:r>
          </w:p>
          <w:p>
            <w:pPr>
              <w:widowControl/>
              <w:spacing w:line="360" w:lineRule="auto"/>
              <w:rPr>
                <w:rFonts w:hint="eastAsia" w:asciiTheme="majorEastAsia" w:hAnsiTheme="majorEastAsia" w:eastAsiaTheme="majorEastAsia" w:cstheme="majorEastAsia"/>
                <w:bCs/>
                <w:kern w:val="0"/>
                <w:sz w:val="24"/>
                <w:szCs w:val="24"/>
              </w:rPr>
            </w:pPr>
          </w:p>
        </w:tc>
      </w:tr>
    </w:tbl>
    <w:p>
      <w:pPr>
        <w:widowControl/>
        <w:spacing w:line="360" w:lineRule="auto"/>
        <w:rPr>
          <w:rFonts w:cs="宋体" w:asciiTheme="minorEastAsia" w:hAnsiTheme="minorEastAsia"/>
          <w:kern w:val="0"/>
          <w:sz w:val="24"/>
          <w:szCs w:val="24"/>
        </w:rPr>
      </w:pPr>
      <w:r>
        <w:rPr>
          <w:rFonts w:hint="eastAsia" w:cs="宋体" w:asciiTheme="minorEastAsia" w:hAnsiTheme="minorEastAsia"/>
          <w:b/>
          <w:bCs/>
          <w:kern w:val="0"/>
          <w:sz w:val="24"/>
          <w:szCs w:val="24"/>
        </w:rPr>
        <w:t>二、</w:t>
      </w:r>
      <w:r>
        <w:rPr>
          <w:rFonts w:cs="宋体" w:asciiTheme="minorEastAsia" w:hAnsiTheme="minorEastAsia"/>
          <w:b/>
          <w:bCs/>
          <w:kern w:val="0"/>
          <w:sz w:val="24"/>
          <w:szCs w:val="24"/>
        </w:rPr>
        <w:t>监督审核</w:t>
      </w:r>
      <w:r>
        <w:rPr>
          <w:rFonts w:hint="eastAsia" w:cs="宋体" w:asciiTheme="minorEastAsia" w:hAnsiTheme="minorEastAsia"/>
          <w:b/>
          <w:bCs/>
          <w:kern w:val="0"/>
          <w:sz w:val="24"/>
          <w:szCs w:val="24"/>
        </w:rPr>
        <w:t>内容</w:t>
      </w:r>
      <w:r>
        <w:rPr>
          <w:rFonts w:hint="eastAsia" w:cs="宋体" w:asciiTheme="minorEastAsia" w:hAnsiTheme="minorEastAsia"/>
          <w:bCs/>
          <w:kern w:val="0"/>
          <w:sz w:val="24"/>
          <w:szCs w:val="24"/>
        </w:rPr>
        <w:t>：</w:t>
      </w:r>
    </w:p>
    <w:p>
      <w:pPr>
        <w:widowControl/>
        <w:spacing w:line="360" w:lineRule="auto"/>
        <w:rPr>
          <w:rFonts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bCs/>
          <w:color w:val="auto"/>
          <w:kern w:val="0"/>
          <w:sz w:val="24"/>
          <w:szCs w:val="24"/>
        </w:rPr>
        <w:t>1.一年内违反法律法规或重大事故的情况：</w:t>
      </w:r>
    </w:p>
    <w:p>
      <w:pPr>
        <w:spacing w:line="360" w:lineRule="auto"/>
        <w:ind w:right="-512" w:rightChars="-244" w:firstLine="480" w:firstLineChars="200"/>
        <w:rPr>
          <w:rFonts w:ascii="宋体" w:hAnsi="宋体"/>
          <w:sz w:val="24"/>
          <w:szCs w:val="24"/>
          <w:highlight w:val="none"/>
        </w:rPr>
      </w:pPr>
      <w:r>
        <w:rPr>
          <w:rFonts w:hint="eastAsia" w:asciiTheme="majorEastAsia" w:hAnsiTheme="majorEastAsia" w:eastAsiaTheme="majorEastAsia" w:cstheme="majorEastAsia"/>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企业能源计量情况：</w:t>
      </w:r>
      <w:r>
        <w:rPr>
          <w:rFonts w:hint="eastAsia" w:ascii="宋体" w:hAnsi="宋体"/>
          <w:color w:val="000000" w:themeColor="text1"/>
          <w:sz w:val="24"/>
          <w:szCs w:val="24"/>
        </w:rPr>
        <w:t>企业主要耗能为电力</w:t>
      </w:r>
      <w:r>
        <w:rPr>
          <w:rFonts w:hint="eastAsia" w:ascii="宋体" w:hAnsi="宋体"/>
          <w:color w:val="000000" w:themeColor="text1"/>
          <w:sz w:val="24"/>
          <w:szCs w:val="24"/>
          <w:lang w:val="en-US" w:eastAsia="zh-CN"/>
        </w:rPr>
        <w:t>和柴油</w:t>
      </w:r>
      <w:r>
        <w:rPr>
          <w:rFonts w:hint="eastAsia" w:ascii="宋体" w:hAnsi="宋体"/>
          <w:color w:val="000000" w:themeColor="text1"/>
          <w:sz w:val="24"/>
          <w:szCs w:val="24"/>
        </w:rPr>
        <w:t xml:space="preserve">， </w:t>
      </w:r>
      <w:r>
        <w:rPr>
          <w:rFonts w:hint="eastAsia" w:ascii="宋体" w:hAnsi="宋体"/>
          <w:color w:val="000000" w:themeColor="text1"/>
          <w:sz w:val="24"/>
          <w:szCs w:val="24"/>
          <w:highlight w:val="none"/>
        </w:rPr>
        <w:t>2019年1月至</w:t>
      </w:r>
      <w:r>
        <w:rPr>
          <w:rFonts w:hint="eastAsia" w:ascii="宋体" w:hAnsi="宋体"/>
          <w:color w:val="000000" w:themeColor="text1"/>
          <w:sz w:val="24"/>
          <w:szCs w:val="24"/>
          <w:highlight w:val="none"/>
          <w:lang w:val="en-US" w:eastAsia="zh-CN"/>
        </w:rPr>
        <w:t>12</w:t>
      </w:r>
      <w:r>
        <w:rPr>
          <w:rFonts w:hint="eastAsia" w:ascii="宋体" w:hAnsi="宋体"/>
          <w:color w:val="000000" w:themeColor="text1"/>
          <w:sz w:val="24"/>
          <w:szCs w:val="24"/>
          <w:highlight w:val="none"/>
        </w:rPr>
        <w:t>月消耗能源</w:t>
      </w:r>
      <w:r>
        <w:rPr>
          <w:rFonts w:hint="eastAsia" w:ascii="宋体" w:hAnsi="宋体"/>
          <w:color w:val="000000" w:themeColor="text1"/>
          <w:sz w:val="24"/>
          <w:szCs w:val="24"/>
          <w:highlight w:val="none"/>
          <w:lang w:val="en-US" w:eastAsia="zh-CN"/>
        </w:rPr>
        <w:t>163.16吨标煤</w:t>
      </w:r>
      <w:r>
        <w:rPr>
          <w:rFonts w:hint="eastAsia" w:ascii="宋体" w:hAnsi="宋体"/>
          <w:color w:val="000000" w:themeColor="text1"/>
          <w:sz w:val="24"/>
          <w:szCs w:val="24"/>
          <w:highlight w:val="none"/>
        </w:rPr>
        <w:t>。</w:t>
      </w:r>
      <w:r>
        <w:rPr>
          <w:rFonts w:hint="eastAsia" w:ascii="宋体" w:hAnsi="宋体"/>
          <w:color w:val="000000" w:themeColor="text1"/>
          <w:sz w:val="24"/>
          <w:szCs w:val="24"/>
          <w:highlight w:val="none"/>
          <w:lang w:val="en-US" w:eastAsia="zh-CN"/>
        </w:rPr>
        <w:t>不</w:t>
      </w:r>
      <w:r>
        <w:rPr>
          <w:rFonts w:hint="eastAsia" w:ascii="宋体" w:hAnsi="宋体"/>
          <w:color w:val="000000" w:themeColor="text1"/>
          <w:sz w:val="24"/>
          <w:szCs w:val="24"/>
          <w:highlight w:val="none"/>
        </w:rPr>
        <w:t>是重点耗能企业。</w:t>
      </w:r>
    </w:p>
    <w:p>
      <w:pPr>
        <w:spacing w:line="360" w:lineRule="auto"/>
        <w:ind w:right="-512" w:rightChars="-244"/>
        <w:rPr>
          <w:rFonts w:asciiTheme="majorEastAsia" w:hAnsiTheme="majorEastAsia" w:eastAsiaTheme="majorEastAsia" w:cstheme="majorEastAsia"/>
          <w:bCs/>
          <w:color w:val="C00000"/>
          <w:kern w:val="0"/>
          <w:sz w:val="24"/>
          <w:szCs w:val="24"/>
          <w:highlight w:val="none"/>
        </w:rPr>
      </w:pPr>
      <w:r>
        <w:rPr>
          <w:rFonts w:hint="eastAsia" w:asciiTheme="majorEastAsia" w:hAnsiTheme="majorEastAsia" w:eastAsiaTheme="majorEastAsia" w:cstheme="majorEastAsia"/>
          <w:bCs/>
          <w:color w:val="auto"/>
          <w:kern w:val="0"/>
          <w:sz w:val="24"/>
          <w:szCs w:val="24"/>
          <w:highlight w:val="none"/>
        </w:rPr>
        <w:t>2.监督审核过程简述：</w:t>
      </w:r>
      <w:bookmarkStart w:id="5" w:name="_GoBack"/>
      <w:bookmarkEnd w:id="5"/>
    </w:p>
    <w:p>
      <w:pPr>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有效评价公司测量管理体系认证后一年以来运行情况，在</w:t>
      </w:r>
      <w:r>
        <w:rPr>
          <w:rFonts w:hint="eastAsia" w:ascii="宋体" w:hAnsi="宋体" w:eastAsiaTheme="majorEastAsia"/>
          <w:color w:val="auto"/>
          <w:sz w:val="24"/>
          <w:szCs w:val="24"/>
          <w:lang w:eastAsia="zh-CN"/>
        </w:rPr>
        <w:t>上海凯科阀门制造有限公司</w:t>
      </w:r>
      <w:r>
        <w:rPr>
          <w:rFonts w:hint="eastAsia" w:asciiTheme="majorEastAsia" w:hAnsiTheme="majorEastAsia" w:eastAsiaTheme="majorEastAsia" w:cstheme="majorEastAsia"/>
          <w:bCs/>
          <w:color w:val="auto"/>
          <w:kern w:val="0"/>
          <w:sz w:val="24"/>
          <w:szCs w:val="24"/>
        </w:rPr>
        <w:t>现场审核中，审核组分两个组先、后抽样检查了涉及公司测量体系内的管理、生产、质量和环境等方面的</w:t>
      </w:r>
      <w:r>
        <w:rPr>
          <w:rFonts w:hint="eastAsia" w:asciiTheme="majorEastAsia" w:hAnsiTheme="majorEastAsia" w:eastAsiaTheme="majorEastAsia" w:cstheme="majorEastAsia"/>
          <w:bCs/>
          <w:color w:val="auto"/>
          <w:kern w:val="0"/>
          <w:sz w:val="24"/>
          <w:szCs w:val="24"/>
          <w:lang w:val="en-US" w:eastAsia="zh-CN"/>
        </w:rPr>
        <w:t>3</w:t>
      </w:r>
      <w:r>
        <w:rPr>
          <w:rFonts w:hint="eastAsia" w:asciiTheme="majorEastAsia" w:hAnsiTheme="majorEastAsia" w:eastAsiaTheme="majorEastAsia" w:cstheme="majorEastAsia"/>
          <w:bCs/>
          <w:color w:val="auto"/>
          <w:kern w:val="0"/>
          <w:sz w:val="24"/>
          <w:szCs w:val="24"/>
        </w:rPr>
        <w:t>个职能部门和车间 。覆盖了</w:t>
      </w:r>
      <w:r>
        <w:rPr>
          <w:rFonts w:hint="eastAsia" w:asciiTheme="majorEastAsia" w:hAnsiTheme="majorEastAsia" w:eastAsiaTheme="majorEastAsia" w:cstheme="majorEastAsia"/>
          <w:color w:val="auto"/>
          <w:sz w:val="24"/>
          <w:szCs w:val="24"/>
        </w:rPr>
        <w:t>GB/T 19022-2003标</w:t>
      </w:r>
      <w:r>
        <w:rPr>
          <w:rFonts w:hint="eastAsia" w:asciiTheme="minorEastAsia" w:hAnsiTheme="minorEastAsia" w:cstheme="minorEastAsia"/>
          <w:color w:val="auto"/>
          <w:sz w:val="24"/>
          <w:szCs w:val="24"/>
        </w:rPr>
        <w:t>准相关要素和体系涉及的主要范围。</w:t>
      </w:r>
      <w:r>
        <w:rPr>
          <w:rFonts w:hint="eastAsia" w:asciiTheme="minorEastAsia" w:hAnsiTheme="minorEastAsia" w:cstheme="minorEastAsia"/>
          <w:bCs/>
          <w:color w:val="auto"/>
          <w:kern w:val="0"/>
          <w:sz w:val="24"/>
          <w:szCs w:val="24"/>
        </w:rPr>
        <w:t>重点核查环节有原材料检验、产品出厂检验等测量过程及测量设备量值溯源完成情况。企业</w:t>
      </w:r>
      <w:r>
        <w:rPr>
          <w:rFonts w:hint="eastAsia" w:asciiTheme="minorEastAsia" w:hAnsiTheme="minorEastAsia" w:cstheme="minorEastAsia"/>
          <w:bCs/>
          <w:color w:val="auto"/>
          <w:kern w:val="0"/>
          <w:sz w:val="24"/>
          <w:szCs w:val="24"/>
          <w:lang w:val="en-US" w:eastAsia="zh-CN"/>
        </w:rPr>
        <w:t>未</w:t>
      </w:r>
      <w:r>
        <w:rPr>
          <w:rFonts w:hint="eastAsia" w:asciiTheme="minorEastAsia" w:hAnsiTheme="minorEastAsia" w:cstheme="minorEastAsia"/>
          <w:bCs/>
          <w:color w:val="auto"/>
          <w:kern w:val="0"/>
          <w:sz w:val="24"/>
          <w:szCs w:val="24"/>
        </w:rPr>
        <w:t>建立最高计量标准，</w:t>
      </w:r>
      <w:r>
        <w:rPr>
          <w:rFonts w:hint="eastAsia" w:asciiTheme="minorEastAsia" w:hAnsiTheme="minorEastAsia" w:cstheme="minorEastAsia"/>
          <w:bCs/>
          <w:color w:val="auto"/>
          <w:kern w:val="0"/>
          <w:sz w:val="24"/>
          <w:szCs w:val="24"/>
          <w:lang w:val="en-US" w:eastAsia="zh-CN"/>
        </w:rPr>
        <w:t>企业</w:t>
      </w:r>
      <w:r>
        <w:rPr>
          <w:rFonts w:hint="eastAsia" w:asciiTheme="minorEastAsia" w:hAnsiTheme="minorEastAsia" w:cstheme="minorEastAsia"/>
          <w:bCs/>
          <w:color w:val="auto"/>
          <w:kern w:val="0"/>
          <w:sz w:val="24"/>
          <w:szCs w:val="24"/>
        </w:rPr>
        <w:t>测量设备均送到有资质的检定/校准机构检定/校准。控制的抽查：抽查不确定度评定、监视与统计、有效性确认、控制图等方法正确。测量方法、环境条件、人员操作技能受控，满足要求。公司领导层重视测量管理体系各项工作，配备完善了相关资源和设备，</w:t>
      </w:r>
      <w:r>
        <w:rPr>
          <w:rFonts w:hint="eastAsia" w:ascii="宋体" w:hAnsi="宋体"/>
          <w:bCs/>
          <w:color w:val="auto"/>
          <w:sz w:val="24"/>
          <w:szCs w:val="24"/>
        </w:rPr>
        <w:t>公司制定了</w:t>
      </w:r>
      <w:r>
        <w:rPr>
          <w:rFonts w:hint="eastAsia" w:ascii="宋体" w:hAnsi="宋体"/>
          <w:bCs/>
          <w:color w:val="auto"/>
          <w:sz w:val="24"/>
          <w:szCs w:val="24"/>
          <w:lang w:val="en-US" w:eastAsia="zh-CN"/>
        </w:rPr>
        <w:t>5</w:t>
      </w:r>
      <w:r>
        <w:rPr>
          <w:rFonts w:hint="eastAsia" w:ascii="宋体" w:hAnsi="宋体"/>
          <w:bCs/>
          <w:color w:val="auto"/>
          <w:sz w:val="24"/>
          <w:szCs w:val="24"/>
        </w:rPr>
        <w:t>项测量体系质量目标有具体指标可测量，经统计2020年1月至</w:t>
      </w:r>
      <w:r>
        <w:rPr>
          <w:rFonts w:hint="eastAsia" w:ascii="宋体" w:hAnsi="宋体"/>
          <w:bCs/>
          <w:color w:val="auto"/>
          <w:sz w:val="24"/>
          <w:szCs w:val="24"/>
          <w:lang w:val="en-US" w:eastAsia="zh-CN"/>
        </w:rPr>
        <w:t>10</w:t>
      </w:r>
      <w:r>
        <w:rPr>
          <w:rFonts w:hint="eastAsia" w:ascii="宋体" w:hAnsi="宋体"/>
          <w:bCs/>
          <w:color w:val="auto"/>
          <w:sz w:val="24"/>
          <w:szCs w:val="24"/>
        </w:rPr>
        <w:t>月质量目标都已完成。</w:t>
      </w:r>
      <w:r>
        <w:rPr>
          <w:rFonts w:hint="eastAsia"/>
          <w:color w:val="auto"/>
          <w:sz w:val="24"/>
          <w:szCs w:val="24"/>
          <w:lang w:eastAsia="zh-CN"/>
        </w:rPr>
        <w:t>上海凯科阀门制造有限公司</w:t>
      </w:r>
      <w:r>
        <w:rPr>
          <w:rFonts w:hint="eastAsia" w:asciiTheme="majorEastAsia" w:hAnsiTheme="majorEastAsia" w:eastAsiaTheme="majorEastAsia" w:cstheme="majorEastAsia"/>
          <w:color w:val="auto"/>
          <w:sz w:val="24"/>
          <w:szCs w:val="24"/>
        </w:rPr>
        <w:t>测量管理体系的符合性、有效性及持续改进，符合GB/T 19022-2003标准要求，公司测量管理体系正常有序运行，较好地满足了公司可持续发展的需要。企业效益逐年提高。</w:t>
      </w:r>
    </w:p>
    <w:p>
      <w:pPr>
        <w:spacing w:line="360" w:lineRule="auto"/>
        <w:ind w:right="-512" w:rightChars="-244"/>
        <w:rPr>
          <w:rFonts w:asciiTheme="majorEastAsia" w:hAnsiTheme="majorEastAsia" w:eastAsiaTheme="majorEastAsia" w:cstheme="majorEastAsia"/>
          <w:color w:val="000000" w:themeColor="text1"/>
          <w:sz w:val="24"/>
          <w:szCs w:val="24"/>
        </w:rPr>
      </w:pPr>
      <w:r>
        <w:rPr>
          <w:rFonts w:hint="eastAsia" w:asciiTheme="minorEastAsia" w:hAnsiTheme="minorEastAsia"/>
          <w:bCs/>
          <w:color w:val="000000" w:themeColor="text1"/>
          <w:sz w:val="24"/>
          <w:szCs w:val="24"/>
        </w:rPr>
        <w:t>3.内部审核和管理评审</w:t>
      </w:r>
      <w:r>
        <w:rPr>
          <w:rFonts w:cs="宋体" w:asciiTheme="minorEastAsia" w:hAnsiTheme="minorEastAsia"/>
          <w:bCs/>
          <w:color w:val="000000" w:themeColor="text1"/>
          <w:kern w:val="0"/>
          <w:sz w:val="24"/>
          <w:szCs w:val="24"/>
        </w:rPr>
        <w:t>的情况：</w:t>
      </w:r>
    </w:p>
    <w:p>
      <w:pPr>
        <w:widowControl/>
        <w:spacing w:line="360" w:lineRule="auto"/>
        <w:rPr>
          <w:rFonts w:ascii="宋体" w:hAnsi="宋体"/>
          <w:color w:val="000000" w:themeColor="text1"/>
          <w:sz w:val="24"/>
          <w:szCs w:val="24"/>
        </w:rPr>
      </w:pPr>
      <w:r>
        <w:rPr>
          <w:rFonts w:hint="eastAsia" w:cs="宋体" w:asciiTheme="minorEastAsia" w:hAnsiTheme="minorEastAsia"/>
          <w:bCs/>
          <w:color w:val="000000" w:themeColor="text1"/>
          <w:kern w:val="0"/>
          <w:sz w:val="24"/>
          <w:szCs w:val="24"/>
        </w:rPr>
        <w:t>3.1</w:t>
      </w:r>
      <w:r>
        <w:rPr>
          <w:rFonts w:hint="eastAsia" w:ascii="宋体" w:hAnsi="宋体"/>
          <w:color w:val="000000" w:themeColor="text1"/>
          <w:sz w:val="24"/>
          <w:szCs w:val="24"/>
        </w:rPr>
        <w:t>公司的测量体系内审：</w:t>
      </w:r>
    </w:p>
    <w:p>
      <w:pPr>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为了充分验证公司测量管理体系运行的符合性、有效性及持续改进，于2020年</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日</w:t>
      </w:r>
      <w:r>
        <w:rPr>
          <w:rFonts w:hint="eastAsia" w:asciiTheme="majorEastAsia" w:hAnsiTheme="majorEastAsia" w:eastAsiaTheme="majorEastAsia" w:cstheme="majorEastAsia"/>
          <w:color w:val="auto"/>
          <w:sz w:val="24"/>
          <w:szCs w:val="24"/>
          <w:lang w:val="en-US" w:eastAsia="zh-CN"/>
        </w:rPr>
        <w:t>至8月7日</w:t>
      </w:r>
      <w:r>
        <w:rPr>
          <w:rFonts w:hint="eastAsia" w:asciiTheme="majorEastAsia" w:hAnsiTheme="majorEastAsia" w:eastAsiaTheme="majorEastAsia" w:cstheme="majorEastAsia"/>
          <w:color w:val="auto"/>
          <w:sz w:val="24"/>
          <w:szCs w:val="24"/>
        </w:rPr>
        <w:t>，公司进行了年度测量管理体系内部审核工作。按GB/T 19022-2003标准的要素要求，分1个组对公司6个职能部门和车间进行了审核。本次审核共发现</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个不符合项，目前</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个不符合项已整改完成。</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3.2公司的测量体系管理评审：</w:t>
      </w:r>
    </w:p>
    <w:p>
      <w:pPr>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公司领导层为了系统的了解和自我评价公司测量管理体系一年内运行情况，在测量管理体系内部审核结束后，由</w:t>
      </w:r>
      <w:r>
        <w:rPr>
          <w:rFonts w:hint="eastAsia" w:asciiTheme="majorEastAsia" w:hAnsiTheme="majorEastAsia" w:eastAsiaTheme="majorEastAsia" w:cstheme="majorEastAsia"/>
          <w:color w:val="auto"/>
          <w:sz w:val="24"/>
          <w:szCs w:val="24"/>
          <w:lang w:eastAsia="zh-CN"/>
        </w:rPr>
        <w:t>质检部</w:t>
      </w:r>
      <w:r>
        <w:rPr>
          <w:rFonts w:hint="eastAsia" w:asciiTheme="majorEastAsia" w:hAnsiTheme="majorEastAsia" w:eastAsiaTheme="majorEastAsia" w:cstheme="majorEastAsia"/>
          <w:color w:val="auto"/>
          <w:sz w:val="24"/>
          <w:szCs w:val="24"/>
        </w:rPr>
        <w:t>牵头组织，策划制定了管理评审计划</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并</w:t>
      </w:r>
      <w:r>
        <w:rPr>
          <w:rFonts w:hint="eastAsia" w:asciiTheme="majorEastAsia" w:hAnsiTheme="majorEastAsia" w:eastAsiaTheme="majorEastAsia" w:cstheme="majorEastAsia"/>
          <w:color w:val="auto"/>
          <w:sz w:val="24"/>
          <w:szCs w:val="24"/>
          <w:lang w:val="en-US" w:eastAsia="zh-CN"/>
        </w:rPr>
        <w:t>组织</w:t>
      </w:r>
      <w:r>
        <w:rPr>
          <w:rFonts w:hint="eastAsia" w:asciiTheme="majorEastAsia" w:hAnsiTheme="majorEastAsia" w:eastAsiaTheme="majorEastAsia" w:cstheme="majorEastAsia"/>
          <w:color w:val="auto"/>
          <w:sz w:val="24"/>
          <w:szCs w:val="24"/>
        </w:rPr>
        <w:t>实施。2020年</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21</w:t>
      </w:r>
      <w:r>
        <w:rPr>
          <w:rFonts w:hint="eastAsia" w:asciiTheme="majorEastAsia" w:hAnsiTheme="majorEastAsia" w:eastAsiaTheme="majorEastAsia" w:cstheme="majorEastAsia"/>
          <w:color w:val="auto"/>
          <w:sz w:val="24"/>
          <w:szCs w:val="24"/>
        </w:rPr>
        <w:t>日，由总经理</w:t>
      </w:r>
      <w:r>
        <w:rPr>
          <w:rFonts w:hint="eastAsia" w:asciiTheme="majorEastAsia" w:hAnsiTheme="majorEastAsia" w:eastAsiaTheme="majorEastAsia" w:cstheme="majorEastAsia"/>
          <w:color w:val="auto"/>
          <w:sz w:val="24"/>
          <w:szCs w:val="24"/>
          <w:lang w:val="en-US" w:eastAsia="zh-CN"/>
        </w:rPr>
        <w:t>王健</w:t>
      </w:r>
      <w:r>
        <w:rPr>
          <w:rFonts w:hint="eastAsia" w:asciiTheme="majorEastAsia" w:hAnsiTheme="majorEastAsia" w:eastAsiaTheme="majorEastAsia" w:cstheme="majorEastAsia"/>
          <w:color w:val="auto"/>
          <w:sz w:val="24"/>
          <w:szCs w:val="24"/>
        </w:rPr>
        <w:t>主持，公司召集测量管理体系职能部门和相关部门领导参加的评审会议。编制了评审报告。管理评审结论为：公司测量管理体系有效运行，符合GB/T 19022-2003标准要求。体系运行是适宜的、充分的、有效的。</w:t>
      </w:r>
    </w:p>
    <w:p>
      <w:pPr>
        <w:widowControl/>
        <w:spacing w:line="360" w:lineRule="auto"/>
        <w:ind w:firstLine="480" w:firstLineChars="200"/>
        <w:jc w:val="left"/>
        <w:rPr>
          <w:rFonts w:ascii="宋体" w:hAnsi="宋体" w:cs="宋体"/>
          <w:bCs/>
          <w:color w:val="auto"/>
          <w:kern w:val="0"/>
          <w:sz w:val="24"/>
          <w:szCs w:val="24"/>
        </w:rPr>
      </w:pPr>
      <w:r>
        <w:rPr>
          <w:rFonts w:hint="eastAsia" w:ascii="宋体" w:hAnsi="宋体" w:cs="宋体"/>
          <w:bCs/>
          <w:color w:val="auto"/>
          <w:kern w:val="0"/>
          <w:sz w:val="24"/>
          <w:szCs w:val="24"/>
        </w:rPr>
        <w:t xml:space="preserve">4、为持续改进而策划的活动的进展 </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企业闸板密封面硬度检测测量过程为关键测量过程，测量过程识别、测量设备配备、检定</w:t>
      </w:r>
      <w:r>
        <w:rPr>
          <w:rFonts w:hint="eastAsia" w:ascii="宋体" w:hAnsi="宋体"/>
          <w:color w:val="auto"/>
          <w:sz w:val="24"/>
          <w:szCs w:val="24"/>
          <w:lang w:val="en-US" w:eastAsia="zh-CN"/>
        </w:rPr>
        <w:t>/校准</w:t>
      </w:r>
      <w:r>
        <w:rPr>
          <w:rFonts w:hint="eastAsia" w:ascii="宋体" w:hAnsi="宋体"/>
          <w:color w:val="auto"/>
          <w:sz w:val="24"/>
          <w:szCs w:val="24"/>
        </w:rPr>
        <w:t>、验证，测量过程有效性确认，测量不确定度评定、测量过程控制和监视满足要求。</w:t>
      </w:r>
    </w:p>
    <w:p>
      <w:pPr>
        <w:widowControl/>
        <w:spacing w:line="360" w:lineRule="auto"/>
        <w:jc w:val="left"/>
        <w:rPr>
          <w:rFonts w:ascii="宋体" w:hAnsi="宋体"/>
          <w:color w:val="auto"/>
          <w:sz w:val="24"/>
          <w:szCs w:val="24"/>
        </w:rPr>
      </w:pPr>
      <w:r>
        <w:rPr>
          <w:rFonts w:hint="eastAsia" w:ascii="宋体" w:hAnsi="宋体"/>
          <w:color w:val="auto"/>
          <w:sz w:val="24"/>
          <w:szCs w:val="24"/>
        </w:rPr>
        <w:t>5、对上次审核中确定的不符合采取措施的情况：</w:t>
      </w:r>
    </w:p>
    <w:p>
      <w:pPr>
        <w:widowControl/>
        <w:spacing w:line="360" w:lineRule="auto"/>
        <w:ind w:firstLine="480" w:firstLineChars="200"/>
        <w:rPr>
          <w:rFonts w:ascii="宋体" w:hAnsi="宋体" w:cs="宋体"/>
          <w:bCs/>
          <w:color w:val="C00000"/>
          <w:kern w:val="0"/>
          <w:sz w:val="24"/>
          <w:szCs w:val="24"/>
        </w:rPr>
      </w:pPr>
      <w:r>
        <w:rPr>
          <w:rFonts w:hint="eastAsia" w:asciiTheme="majorEastAsia" w:hAnsiTheme="majorEastAsia" w:eastAsiaTheme="majorEastAsia" w:cstheme="majorEastAsia"/>
          <w:bCs/>
          <w:color w:val="auto"/>
          <w:sz w:val="24"/>
          <w:szCs w:val="24"/>
        </w:rPr>
        <w:t>去</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监督</w:t>
      </w:r>
      <w:r>
        <w:rPr>
          <w:rFonts w:hint="eastAsia" w:ascii="宋体" w:hAnsi="宋体" w:cs="宋体"/>
          <w:bCs/>
          <w:color w:val="auto"/>
          <w:kern w:val="0"/>
          <w:sz w:val="24"/>
          <w:szCs w:val="24"/>
        </w:rPr>
        <w:t>审核发现</w:t>
      </w:r>
      <w:r>
        <w:rPr>
          <w:rFonts w:hint="eastAsia" w:ascii="宋体" w:hAnsi="宋体" w:cs="宋体"/>
          <w:bCs/>
          <w:color w:val="auto"/>
          <w:kern w:val="0"/>
          <w:sz w:val="24"/>
          <w:szCs w:val="24"/>
          <w:lang w:val="en-US" w:eastAsia="zh-CN"/>
        </w:rPr>
        <w:t>1</w:t>
      </w:r>
      <w:r>
        <w:rPr>
          <w:rFonts w:hint="eastAsia" w:ascii="宋体" w:hAnsi="宋体" w:cs="宋体"/>
          <w:bCs/>
          <w:color w:val="auto"/>
          <w:kern w:val="0"/>
          <w:sz w:val="24"/>
          <w:szCs w:val="24"/>
        </w:rPr>
        <w:t>个不符合项。</w:t>
      </w:r>
    </w:p>
    <w:p>
      <w:pPr>
        <w:widowControl/>
        <w:spacing w:line="360" w:lineRule="auto"/>
        <w:jc w:val="left"/>
        <w:rPr>
          <w:rFonts w:hint="eastAsia" w:ascii="宋体" w:hAnsi="宋体"/>
          <w:color w:val="auto"/>
          <w:sz w:val="24"/>
          <w:szCs w:val="24"/>
        </w:rPr>
      </w:pPr>
      <w:r>
        <w:rPr>
          <w:rFonts w:hint="eastAsia" w:ascii="宋体" w:hAnsi="宋体"/>
          <w:color w:val="auto"/>
          <w:sz w:val="24"/>
          <w:szCs w:val="24"/>
        </w:rPr>
        <w:t>5.1查：生产部仓库发货的汽车电子衡，没有检定/校准。</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不符合GB/T19022:2003标准</w:t>
      </w:r>
      <w:r>
        <w:rPr>
          <w:rFonts w:hint="eastAsia" w:ascii="宋体" w:hAnsi="宋体"/>
          <w:color w:val="auto"/>
          <w:sz w:val="24"/>
          <w:szCs w:val="24"/>
          <w:lang w:val="en-US" w:eastAsia="zh-CN"/>
        </w:rPr>
        <w:t>7.3.2条款。</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企业制定了纠正措施，已整改完成，经验证同意关闭</w:t>
      </w:r>
      <w:r>
        <w:rPr>
          <w:rFonts w:hint="eastAsia" w:ascii="宋体" w:hAnsi="宋体"/>
          <w:color w:val="auto"/>
          <w:sz w:val="24"/>
          <w:szCs w:val="24"/>
          <w:lang w:val="en-US" w:eastAsia="zh-CN"/>
        </w:rPr>
        <w:t>1</w:t>
      </w:r>
      <w:r>
        <w:rPr>
          <w:rFonts w:hint="eastAsia" w:ascii="宋体" w:hAnsi="宋体"/>
          <w:color w:val="auto"/>
          <w:sz w:val="24"/>
          <w:szCs w:val="24"/>
        </w:rPr>
        <w:t>个不符合项。</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企业今年内审</w:t>
      </w:r>
      <w:r>
        <w:rPr>
          <w:rFonts w:hint="eastAsia" w:ascii="宋体" w:hAnsi="宋体"/>
          <w:color w:val="auto"/>
          <w:sz w:val="24"/>
          <w:szCs w:val="24"/>
          <w:lang w:val="en-US" w:eastAsia="zh-CN"/>
        </w:rPr>
        <w:t>发现</w:t>
      </w:r>
      <w:r>
        <w:rPr>
          <w:rFonts w:hint="eastAsia" w:ascii="宋体" w:hAnsi="宋体"/>
          <w:color w:val="auto"/>
          <w:sz w:val="24"/>
          <w:szCs w:val="24"/>
        </w:rPr>
        <w:t>的</w:t>
      </w:r>
      <w:r>
        <w:rPr>
          <w:rFonts w:hint="eastAsia" w:ascii="宋体" w:hAnsi="宋体"/>
          <w:color w:val="auto"/>
          <w:sz w:val="24"/>
          <w:szCs w:val="24"/>
          <w:lang w:val="en-US" w:eastAsia="zh-CN"/>
        </w:rPr>
        <w:t>2</w:t>
      </w:r>
      <w:r>
        <w:rPr>
          <w:rFonts w:hint="eastAsia" w:ascii="宋体" w:hAnsi="宋体"/>
          <w:color w:val="auto"/>
          <w:sz w:val="24"/>
          <w:szCs w:val="24"/>
        </w:rPr>
        <w:t>个不符合项，已整改完成。并已验证关闭。</w:t>
      </w:r>
    </w:p>
    <w:p>
      <w:pPr>
        <w:widowControl/>
        <w:spacing w:line="360" w:lineRule="auto"/>
        <w:jc w:val="left"/>
        <w:rPr>
          <w:rFonts w:ascii="宋体" w:hAnsi="宋体"/>
          <w:color w:val="auto"/>
          <w:sz w:val="24"/>
          <w:szCs w:val="24"/>
        </w:rPr>
      </w:pPr>
      <w:r>
        <w:rPr>
          <w:rFonts w:hint="eastAsia" w:ascii="宋体" w:hAnsi="宋体"/>
          <w:color w:val="auto"/>
          <w:sz w:val="24"/>
          <w:szCs w:val="24"/>
        </w:rPr>
        <w:t>6.对投诉的处理情况：</w:t>
      </w:r>
    </w:p>
    <w:p>
      <w:pPr>
        <w:widowControl/>
        <w:spacing w:line="360" w:lineRule="auto"/>
        <w:ind w:firstLine="480" w:firstLineChars="200"/>
        <w:jc w:val="left"/>
        <w:rPr>
          <w:rFonts w:ascii="宋体" w:hAnsi="宋体"/>
          <w:color w:val="C00000"/>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7.管理体系在实现获证客户目标方面的有效性及持续的运作控制</w:t>
      </w:r>
      <w:r>
        <w:rPr>
          <w:rFonts w:cs="宋体" w:asciiTheme="minorEastAsia" w:hAnsiTheme="minorEastAsia"/>
          <w:bCs/>
          <w:color w:val="auto"/>
          <w:kern w:val="0"/>
          <w:sz w:val="24"/>
          <w:szCs w:val="24"/>
        </w:rPr>
        <w:t>情况：</w:t>
      </w:r>
    </w:p>
    <w:p>
      <w:pPr>
        <w:widowControl/>
        <w:spacing w:line="360" w:lineRule="auto"/>
        <w:ind w:firstLine="480" w:firstLineChars="200"/>
        <w:rPr>
          <w:rFonts w:asciiTheme="minorEastAsia" w:hAnsiTheme="minorEastAsia"/>
          <w:bCs/>
          <w:color w:val="auto"/>
          <w:sz w:val="24"/>
          <w:szCs w:val="24"/>
        </w:rPr>
      </w:pPr>
      <w:r>
        <w:rPr>
          <w:rFonts w:hint="eastAsia" w:ascii="宋体" w:hAnsi="宋体"/>
          <w:color w:val="auto"/>
          <w:sz w:val="24"/>
          <w:szCs w:val="24"/>
        </w:rPr>
        <w:t>公司制定了</w:t>
      </w:r>
      <w:r>
        <w:rPr>
          <w:rFonts w:hint="eastAsia" w:ascii="宋体" w:hAnsi="宋体"/>
          <w:color w:val="auto"/>
          <w:sz w:val="24"/>
          <w:szCs w:val="24"/>
          <w:lang w:val="en-US" w:eastAsia="zh-CN"/>
        </w:rPr>
        <w:t>5</w:t>
      </w:r>
      <w:r>
        <w:rPr>
          <w:rFonts w:hint="eastAsia" w:ascii="宋体" w:hAnsi="宋体"/>
          <w:color w:val="auto"/>
          <w:sz w:val="24"/>
          <w:szCs w:val="24"/>
        </w:rPr>
        <w:t>项质量目标，质量目标有具体考核指标可测量，由</w:t>
      </w:r>
      <w:r>
        <w:rPr>
          <w:rFonts w:hint="eastAsia" w:ascii="宋体" w:hAnsi="宋体"/>
          <w:color w:val="auto"/>
          <w:sz w:val="24"/>
          <w:szCs w:val="24"/>
          <w:lang w:val="en-US" w:eastAsia="zh-CN"/>
        </w:rPr>
        <w:t>质检部</w:t>
      </w:r>
      <w:r>
        <w:rPr>
          <w:rFonts w:hint="eastAsia" w:ascii="宋体" w:hAnsi="宋体"/>
          <w:color w:val="auto"/>
          <w:sz w:val="24"/>
          <w:szCs w:val="24"/>
        </w:rPr>
        <w:t>统计考核，2020年1月至</w:t>
      </w:r>
      <w:r>
        <w:rPr>
          <w:rFonts w:hint="eastAsia" w:ascii="宋体" w:hAnsi="宋体"/>
          <w:color w:val="auto"/>
          <w:sz w:val="24"/>
          <w:szCs w:val="24"/>
          <w:lang w:val="en-US" w:eastAsia="zh-CN"/>
        </w:rPr>
        <w:t>10</w:t>
      </w:r>
      <w:r>
        <w:rPr>
          <w:rFonts w:hint="eastAsia" w:ascii="宋体" w:hAnsi="宋体"/>
          <w:color w:val="auto"/>
          <w:sz w:val="24"/>
          <w:szCs w:val="24"/>
        </w:rPr>
        <w:t>月质量目标全部完成。</w:t>
      </w:r>
      <w:r>
        <w:rPr>
          <w:rFonts w:hint="eastAsia" w:ascii="宋体" w:hAnsi="宋体"/>
          <w:bCs/>
          <w:color w:val="auto"/>
          <w:sz w:val="24"/>
          <w:szCs w:val="24"/>
        </w:rPr>
        <w:t>进一步满足顾客、质量、服务等方面的要求，</w:t>
      </w:r>
      <w:r>
        <w:rPr>
          <w:rFonts w:hint="eastAsia" w:ascii="宋体" w:hAnsi="宋体"/>
          <w:color w:val="auto"/>
          <w:sz w:val="24"/>
          <w:szCs w:val="24"/>
        </w:rPr>
        <w:t>符合GB/T 19022-2003标准要求。</w:t>
      </w:r>
      <w:r>
        <w:rPr>
          <w:rFonts w:hint="eastAsia" w:ascii="宋体" w:hAnsi="宋体"/>
          <w:bCs/>
          <w:color w:val="auto"/>
          <w:sz w:val="24"/>
          <w:szCs w:val="24"/>
        </w:rPr>
        <w:t>使其更具有动态性和适</w:t>
      </w:r>
      <w:r>
        <w:rPr>
          <w:rFonts w:hint="eastAsia" w:ascii="宋体" w:hAnsi="宋体"/>
          <w:bCs/>
          <w:color w:val="auto"/>
          <w:sz w:val="24"/>
          <w:szCs w:val="24"/>
          <w:lang w:val="en-US" w:eastAsia="zh-CN"/>
        </w:rPr>
        <w:t>宜</w:t>
      </w:r>
      <w:r>
        <w:rPr>
          <w:rFonts w:hint="eastAsia" w:ascii="宋体" w:hAnsi="宋体"/>
          <w:bCs/>
          <w:color w:val="auto"/>
          <w:sz w:val="24"/>
          <w:szCs w:val="24"/>
        </w:rPr>
        <w:t>性、</w:t>
      </w:r>
      <w:r>
        <w:rPr>
          <w:rFonts w:hint="eastAsia" w:asciiTheme="minorEastAsia" w:hAnsiTheme="minorEastAsia"/>
          <w:bCs/>
          <w:color w:val="auto"/>
          <w:sz w:val="24"/>
          <w:szCs w:val="24"/>
        </w:rPr>
        <w:t>有效性及对持续运作的控制。</w:t>
      </w:r>
    </w:p>
    <w:p>
      <w:pPr>
        <w:widowControl/>
        <w:spacing w:line="360" w:lineRule="auto"/>
        <w:rPr>
          <w:rFonts w:asciiTheme="minorEastAsia" w:hAnsiTheme="minorEastAsia"/>
          <w:bCs/>
          <w:sz w:val="24"/>
          <w:szCs w:val="24"/>
        </w:rPr>
      </w:pPr>
      <w:r>
        <w:rPr>
          <w:rFonts w:hint="eastAsia" w:asciiTheme="minorEastAsia" w:hAnsiTheme="minorEastAsia"/>
          <w:bCs/>
          <w:sz w:val="24"/>
          <w:szCs w:val="24"/>
        </w:rPr>
        <w:t>8.对组织任何变更的审核：</w:t>
      </w:r>
    </w:p>
    <w:p>
      <w:pPr>
        <w:widowControl/>
        <w:spacing w:line="360" w:lineRule="auto"/>
        <w:ind w:firstLine="480" w:firstLineChars="200"/>
        <w:rPr>
          <w:rFonts w:hint="default" w:ascii="宋体" w:hAnsi="宋体" w:eastAsiaTheme="minorEastAsia"/>
          <w:color w:val="auto"/>
          <w:sz w:val="24"/>
          <w:szCs w:val="24"/>
          <w:lang w:val="en-US" w:eastAsia="zh-CN"/>
        </w:rPr>
      </w:pPr>
      <w:r>
        <w:rPr>
          <w:rFonts w:hint="eastAsia" w:ascii="宋体" w:hAnsi="宋体"/>
          <w:color w:val="auto"/>
          <w:sz w:val="24"/>
          <w:szCs w:val="24"/>
        </w:rPr>
        <w:t>企业</w:t>
      </w:r>
      <w:r>
        <w:rPr>
          <w:rFonts w:hint="eastAsia" w:ascii="宋体" w:hAnsi="宋体"/>
          <w:color w:val="auto"/>
          <w:sz w:val="24"/>
          <w:szCs w:val="24"/>
          <w:lang w:val="en-US" w:eastAsia="zh-CN"/>
        </w:rPr>
        <w:t>质量手册和程序文件已换版，由A/0版换版为B/0版。最高管理者由杜开翔变更为王健。</w:t>
      </w:r>
      <w:r>
        <w:rPr>
          <w:rFonts w:hint="eastAsia" w:ascii="宋体" w:hAnsi="宋体"/>
          <w:color w:val="auto"/>
          <w:sz w:val="24"/>
          <w:szCs w:val="24"/>
        </w:rPr>
        <w:t xml:space="preserve"> </w:t>
      </w:r>
      <w:r>
        <w:rPr>
          <w:rFonts w:hint="eastAsia" w:ascii="宋体" w:hAnsi="宋体"/>
          <w:color w:val="auto"/>
          <w:sz w:val="24"/>
          <w:szCs w:val="24"/>
          <w:lang w:val="en-US" w:eastAsia="zh-CN"/>
        </w:rPr>
        <w:t>实施日期为2019.11.01。</w:t>
      </w:r>
    </w:p>
    <w:p>
      <w:pPr>
        <w:widowControl/>
        <w:spacing w:line="360" w:lineRule="auto"/>
        <w:ind w:firstLine="480" w:firstLineChars="200"/>
        <w:rPr>
          <w:rFonts w:ascii="宋体" w:hAnsi="宋体"/>
          <w:bCs/>
          <w:color w:val="auto"/>
          <w:sz w:val="24"/>
          <w:szCs w:val="24"/>
        </w:rPr>
      </w:pPr>
      <w:r>
        <w:rPr>
          <w:rFonts w:hint="eastAsia" w:ascii="宋体" w:hAnsi="宋体"/>
          <w:bCs/>
          <w:color w:val="auto"/>
          <w:sz w:val="24"/>
          <w:szCs w:val="24"/>
          <w:lang w:val="en-US" w:eastAsia="zh-CN"/>
        </w:rPr>
        <w:t>企业</w:t>
      </w:r>
      <w:r>
        <w:rPr>
          <w:rFonts w:hint="eastAsia" w:ascii="宋体" w:hAnsi="宋体"/>
          <w:bCs/>
          <w:color w:val="auto"/>
          <w:sz w:val="24"/>
          <w:szCs w:val="24"/>
        </w:rPr>
        <w:t>组织机构没有变更。</w:t>
      </w: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9.标志的使用和（或）任何其他对认证资</w:t>
      </w:r>
      <w:r>
        <w:rPr>
          <w:rFonts w:hint="eastAsia"/>
          <w:bCs/>
          <w:color w:val="auto"/>
          <w:sz w:val="24"/>
          <w:szCs w:val="24"/>
        </w:rPr>
        <w:t>格引用符合</w:t>
      </w:r>
      <w:r>
        <w:rPr>
          <w:rFonts w:cs="宋体" w:asciiTheme="minorEastAsia" w:hAnsiTheme="minorEastAsia"/>
          <w:bCs/>
          <w:color w:val="auto"/>
          <w:kern w:val="0"/>
          <w:sz w:val="24"/>
          <w:szCs w:val="24"/>
        </w:rPr>
        <w:t>的情况：</w:t>
      </w:r>
    </w:p>
    <w:p>
      <w:pPr>
        <w:widowControl/>
        <w:spacing w:line="360" w:lineRule="auto"/>
        <w:ind w:firstLine="480" w:firstLineChars="200"/>
        <w:rPr>
          <w:rFonts w:ascii="宋体" w:hAnsi="宋体"/>
          <w:bCs/>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1"/>
        </w:numPr>
        <w:snapToGrid w:val="0"/>
        <w:spacing w:line="360" w:lineRule="auto"/>
        <w:ind w:right="-512" w:rightChars="-244"/>
        <w:rPr>
          <w:rFonts w:hint="eastAsia" w:ascii="宋体" w:hAnsi="宋体"/>
          <w:color w:val="auto"/>
          <w:sz w:val="24"/>
          <w:szCs w:val="24"/>
        </w:rPr>
      </w:pP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w:t>
      </w:r>
      <w:r>
        <w:rPr>
          <w:rFonts w:hint="eastAsia" w:ascii="宋体" w:hAnsi="宋体"/>
          <w:color w:val="auto"/>
          <w:sz w:val="24"/>
          <w:szCs w:val="24"/>
          <w:highlight w:val="none"/>
        </w:rPr>
        <w:t>发现一般不符合项 ，未发现严重或系统性的不符合情况</w:t>
      </w:r>
      <w:r>
        <w:rPr>
          <w:rFonts w:hint="eastAsia" w:ascii="宋体" w:hAnsi="宋体"/>
          <w:color w:val="auto"/>
          <w:sz w:val="24"/>
          <w:szCs w:val="24"/>
        </w:rPr>
        <w:t>。</w:t>
      </w:r>
    </w:p>
    <w:p>
      <w:pPr>
        <w:widowControl/>
        <w:spacing w:line="360" w:lineRule="auto"/>
        <w:jc w:val="left"/>
        <w:rPr>
          <w:rFonts w:hint="eastAsia" w:ascii="宋体" w:hAnsi="宋体"/>
          <w:color w:val="000000" w:themeColor="text1"/>
          <w:szCs w:val="21"/>
          <w:lang w:val="en-US" w:eastAsia="zh-CN"/>
        </w:rPr>
      </w:pPr>
    </w:p>
    <w:p>
      <w:pPr>
        <w:widowControl/>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三、</w:t>
      </w:r>
      <w:r>
        <w:rPr>
          <w:rFonts w:ascii="宋体" w:hAnsi="宋体" w:eastAsia="宋体" w:cs="宋体"/>
          <w:b/>
          <w:bCs/>
          <w:kern w:val="0"/>
          <w:sz w:val="24"/>
          <w:szCs w:val="24"/>
        </w:rPr>
        <w:t>监督审核结</w:t>
      </w:r>
      <w:r>
        <w:rPr>
          <w:rFonts w:hint="eastAsia" w:ascii="宋体" w:hAnsi="宋体" w:eastAsia="宋体" w:cs="宋体"/>
          <w:b/>
          <w:bCs/>
          <w:kern w:val="0"/>
          <w:sz w:val="24"/>
          <w:szCs w:val="24"/>
        </w:rPr>
        <w:t>论意</w:t>
      </w:r>
      <w:r>
        <w:rPr>
          <w:rFonts w:ascii="宋体" w:hAnsi="宋体" w:eastAsia="宋体" w:cs="宋体"/>
          <w:b/>
          <w:bCs/>
          <w:kern w:val="0"/>
          <w:sz w:val="24"/>
          <w:szCs w:val="24"/>
        </w:rPr>
        <w:t>见</w:t>
      </w:r>
      <w:r>
        <w:rPr>
          <w:rFonts w:ascii="宋体" w:hAnsi="宋体" w:eastAsia="宋体" w:cs="宋体"/>
          <w:bCs/>
          <w:kern w:val="0"/>
          <w:sz w:val="24"/>
          <w:szCs w:val="24"/>
        </w:rPr>
        <w:t>(</w:t>
      </w:r>
      <w:r>
        <w:rPr>
          <w:rFonts w:ascii="宋体" w:hAnsi="宋体" w:eastAsia="宋体" w:cs="宋体"/>
          <w:kern w:val="0"/>
          <w:sz w:val="24"/>
          <w:szCs w:val="24"/>
        </w:rPr>
        <w:t>含需要说明的事项):</w:t>
      </w:r>
    </w:p>
    <w:p>
      <w:pPr>
        <w:spacing w:line="360" w:lineRule="auto"/>
        <w:ind w:firstLine="480" w:firstLineChars="200"/>
        <w:rPr>
          <w:rFonts w:asciiTheme="majorEastAsia" w:hAnsiTheme="majorEastAsia" w:eastAsiaTheme="majorEastAsia" w:cstheme="majorEastAsia"/>
          <w:color w:val="auto"/>
          <w:sz w:val="24"/>
          <w:szCs w:val="24"/>
        </w:rPr>
      </w:pPr>
      <w:r>
        <w:rPr>
          <w:rStyle w:val="11"/>
          <w:rFonts w:hint="eastAsia" w:asciiTheme="majorEastAsia" w:hAnsiTheme="majorEastAsia" w:eastAsiaTheme="majorEastAsia" w:cstheme="majorEastAsia"/>
          <w:color w:val="auto"/>
          <w:sz w:val="24"/>
          <w:szCs w:val="24"/>
        </w:rPr>
        <w:t>通过2020年1</w:t>
      </w:r>
      <w:r>
        <w:rPr>
          <w:rStyle w:val="11"/>
          <w:rFonts w:hint="eastAsia" w:asciiTheme="majorEastAsia" w:hAnsiTheme="majorEastAsia" w:eastAsiaTheme="majorEastAsia" w:cstheme="majorEastAsia"/>
          <w:color w:val="auto"/>
          <w:sz w:val="24"/>
          <w:szCs w:val="24"/>
          <w:lang w:val="en-US" w:eastAsia="zh-CN"/>
        </w:rPr>
        <w:t>1</w:t>
      </w:r>
      <w:r>
        <w:rPr>
          <w:rStyle w:val="11"/>
          <w:rFonts w:hint="eastAsia" w:asciiTheme="majorEastAsia" w:hAnsiTheme="majorEastAsia" w:eastAsiaTheme="majorEastAsia" w:cstheme="majorEastAsia"/>
          <w:color w:val="auto"/>
          <w:sz w:val="24"/>
          <w:szCs w:val="24"/>
        </w:rPr>
        <w:t>月</w:t>
      </w:r>
      <w:r>
        <w:rPr>
          <w:rStyle w:val="11"/>
          <w:rFonts w:hint="eastAsia" w:asciiTheme="majorEastAsia" w:hAnsiTheme="majorEastAsia" w:eastAsiaTheme="majorEastAsia" w:cstheme="majorEastAsia"/>
          <w:color w:val="auto"/>
          <w:sz w:val="24"/>
          <w:szCs w:val="24"/>
          <w:lang w:val="en-US" w:eastAsia="zh-CN"/>
        </w:rPr>
        <w:t>9</w:t>
      </w:r>
      <w:r>
        <w:rPr>
          <w:rStyle w:val="11"/>
          <w:rFonts w:hint="eastAsia" w:asciiTheme="majorEastAsia" w:hAnsiTheme="majorEastAsia" w:eastAsiaTheme="majorEastAsia" w:cstheme="majorEastAsia"/>
          <w:color w:val="auto"/>
          <w:sz w:val="24"/>
          <w:szCs w:val="24"/>
        </w:rPr>
        <w:t>日，对</w:t>
      </w:r>
      <w:r>
        <w:rPr>
          <w:rFonts w:hint="eastAsia" w:eastAsiaTheme="majorEastAsia"/>
          <w:color w:val="auto"/>
          <w:sz w:val="24"/>
          <w:szCs w:val="24"/>
          <w:lang w:eastAsia="zh-CN"/>
        </w:rPr>
        <w:t>上海凯科阀门制造有限公司</w:t>
      </w:r>
      <w:r>
        <w:rPr>
          <w:rStyle w:val="11"/>
          <w:rFonts w:hint="eastAsia" w:asciiTheme="majorEastAsia" w:hAnsiTheme="majorEastAsia" w:eastAsiaTheme="majorEastAsia" w:cstheme="majorEastAsia"/>
          <w:color w:val="auto"/>
          <w:sz w:val="24"/>
          <w:szCs w:val="24"/>
        </w:rPr>
        <w:t>测量管理现场监督审核</w:t>
      </w:r>
      <w:r>
        <w:rPr>
          <w:rFonts w:hint="eastAsia" w:asciiTheme="majorEastAsia" w:hAnsiTheme="majorEastAsia" w:eastAsiaTheme="majorEastAsia" w:cstheme="majorEastAsia"/>
          <w:bCs/>
          <w:color w:val="auto"/>
          <w:sz w:val="24"/>
          <w:szCs w:val="24"/>
        </w:rPr>
        <w:t>.验证了贵公司测量管理体系在去年</w:t>
      </w:r>
      <w:r>
        <w:rPr>
          <w:rFonts w:hint="eastAsia" w:asciiTheme="majorEastAsia" w:hAnsiTheme="majorEastAsia" w:eastAsiaTheme="majorEastAsia" w:cstheme="majorEastAsia"/>
          <w:bCs/>
          <w:color w:val="auto"/>
          <w:sz w:val="24"/>
          <w:szCs w:val="24"/>
          <w:lang w:val="en-US" w:eastAsia="zh-CN"/>
        </w:rPr>
        <w:t>监督</w:t>
      </w:r>
      <w:r>
        <w:rPr>
          <w:rFonts w:hint="eastAsia" w:asciiTheme="majorEastAsia" w:hAnsiTheme="majorEastAsia" w:eastAsiaTheme="majorEastAsia" w:cstheme="majorEastAsia"/>
          <w:bCs/>
          <w:color w:val="auto"/>
          <w:sz w:val="24"/>
          <w:szCs w:val="24"/>
        </w:rPr>
        <w:t>审核后1年内，</w:t>
      </w:r>
      <w:r>
        <w:rPr>
          <w:rFonts w:hint="eastAsia" w:asciiTheme="majorEastAsia" w:hAnsiTheme="majorEastAsia" w:eastAsiaTheme="majorEastAsia" w:cstheme="majorEastAsia"/>
          <w:color w:val="auto"/>
          <w:sz w:val="24"/>
          <w:szCs w:val="24"/>
        </w:rPr>
        <w:t>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eastAsiaTheme="majorEastAsia"/>
          <w:color w:val="auto"/>
          <w:sz w:val="24"/>
          <w:szCs w:val="24"/>
          <w:lang w:eastAsia="zh-CN"/>
        </w:rPr>
        <w:t>上海凯科阀门制造有限公司</w:t>
      </w:r>
      <w:r>
        <w:rPr>
          <w:rFonts w:hint="eastAsia" w:asciiTheme="majorEastAsia" w:hAnsiTheme="majorEastAsia" w:eastAsiaTheme="majorEastAsia" w:cstheme="majorEastAsia"/>
          <w:color w:val="auto"/>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sz w:val="24"/>
          <w:szCs w:val="24"/>
        </w:rPr>
      </w:pPr>
      <w:r>
        <w:rPr>
          <w:rFonts w:hint="eastAsia" w:ascii="宋体" w:hAnsi="宋体" w:eastAsia="宋体" w:cs="Times New Roman"/>
          <w:sz w:val="24"/>
          <w:szCs w:val="24"/>
        </w:rPr>
        <w:t>为了促进支持企业测量管理体系持续提高，建议企业加强测量体系标准的学习与培训，提高体系管理人员的能力。做好测量设备管理和使用维护管理，确保测量设备满足使用要求。</w:t>
      </w:r>
    </w:p>
    <w:p>
      <w:pPr>
        <w:widowControl/>
        <w:spacing w:line="360" w:lineRule="auto"/>
        <w:jc w:val="left"/>
        <w:rPr>
          <w:rFonts w:asciiTheme="majorEastAsia" w:hAnsiTheme="majorEastAsia" w:eastAsiaTheme="majorEastAsia" w:cstheme="majorEastAsia"/>
          <w:sz w:val="24"/>
          <w:szCs w:val="24"/>
        </w:rPr>
      </w:pPr>
      <w:r>
        <w:rPr>
          <w:rFonts w:hint="eastAsia" w:ascii="宋体" w:hAnsi="宋体" w:cs="宋体"/>
          <w:kern w:val="0"/>
          <w:sz w:val="24"/>
          <w:szCs w:val="24"/>
        </w:rPr>
        <w:t>11.</w:t>
      </w:r>
      <w:r>
        <w:rPr>
          <w:rFonts w:ascii="宋体" w:hAnsi="宋体" w:cs="宋体"/>
          <w:kern w:val="0"/>
          <w:sz w:val="24"/>
          <w:szCs w:val="24"/>
        </w:rPr>
        <w:t>其他需要说明的事项</w:t>
      </w:r>
      <w:r>
        <w:rPr>
          <w:rFonts w:hint="eastAsia" w:ascii="宋体" w:hAnsi="宋体" w:cs="宋体"/>
          <w:kern w:val="0"/>
          <w:sz w:val="24"/>
          <w:szCs w:val="24"/>
        </w:rPr>
        <w:t>:/</w:t>
      </w:r>
    </w:p>
    <w:p>
      <w:pPr>
        <w:widowControl/>
        <w:spacing w:line="360" w:lineRule="auto"/>
        <w:jc w:val="left"/>
        <w:rPr>
          <w:rFonts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审核组组长（签字）：                                日期：</w:t>
      </w:r>
    </w:p>
    <w:p>
      <w:pPr>
        <w:snapToGrid w:val="0"/>
        <w:spacing w:line="400" w:lineRule="exact"/>
        <w:ind w:right="-512" w:rightChars="-244" w:firstLine="480"/>
        <w:rPr>
          <w:rFonts w:asciiTheme="majorEastAsia" w:hAnsiTheme="majorEastAsia" w:eastAsiaTheme="majorEastAsia" w:cstheme="majorEastAsia"/>
          <w:sz w:val="24"/>
          <w:szCs w:val="24"/>
        </w:rPr>
      </w:pPr>
    </w:p>
    <w:p>
      <w:pPr>
        <w:snapToGrid w:val="0"/>
        <w:spacing w:line="400" w:lineRule="exact"/>
        <w:ind w:right="-512" w:rightChars="-24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13.审核组成员(签字)：                                  日期：</w:t>
      </w:r>
    </w:p>
    <w:p>
      <w:pPr>
        <w:widowControl/>
        <w:spacing w:line="276" w:lineRule="auto"/>
        <w:ind w:right="945"/>
        <w:rPr>
          <w:rFonts w:ascii="宋体" w:hAnsi="宋体" w:eastAsia="宋体" w:cs="宋体"/>
          <w:b/>
          <w:bCs/>
          <w:kern w:val="0"/>
          <w:sz w:val="24"/>
          <w:szCs w:val="24"/>
        </w:rPr>
      </w:pPr>
    </w:p>
    <w:p>
      <w:pPr>
        <w:widowControl/>
        <w:spacing w:line="276" w:lineRule="auto"/>
        <w:ind w:right="945"/>
        <w:rPr>
          <w:rFonts w:ascii="宋体" w:hAnsi="宋体" w:eastAsia="宋体" w:cs="宋体"/>
          <w:kern w:val="0"/>
          <w:sz w:val="24"/>
          <w:szCs w:val="24"/>
        </w:rPr>
      </w:pPr>
      <w:r>
        <w:rPr>
          <w:rFonts w:hint="eastAsia" w:ascii="宋体" w:hAnsi="宋体" w:eastAsia="宋体" w:cs="宋体"/>
          <w:b/>
          <w:bCs/>
          <w:kern w:val="0"/>
          <w:sz w:val="24"/>
          <w:szCs w:val="24"/>
        </w:rPr>
        <w:t>四、报告审查人意见</w:t>
      </w:r>
    </w:p>
    <w:p>
      <w:pPr>
        <w:widowControl/>
        <w:spacing w:line="276" w:lineRule="auto"/>
        <w:jc w:val="left"/>
        <w:rPr>
          <w:rFonts w:ascii="宋体" w:hAnsi="宋体" w:eastAsia="宋体" w:cs="宋体"/>
          <w:kern w:val="0"/>
          <w:sz w:val="24"/>
          <w:szCs w:val="24"/>
        </w:rPr>
      </w:pP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审查人员（签字）：                                     日期：</w:t>
      </w:r>
    </w:p>
    <w:p>
      <w:pPr>
        <w:widowControl/>
        <w:spacing w:line="276" w:lineRule="auto"/>
        <w:ind w:right="1050"/>
        <w:rPr>
          <w:rFonts w:ascii="宋体" w:hAnsi="宋体" w:eastAsia="宋体" w:cs="宋体"/>
          <w:b/>
          <w:bCs/>
          <w:kern w:val="0"/>
          <w:sz w:val="24"/>
          <w:szCs w:val="24"/>
        </w:rPr>
      </w:pPr>
    </w:p>
    <w:p>
      <w:pPr>
        <w:widowControl/>
        <w:spacing w:line="276" w:lineRule="auto"/>
        <w:jc w:val="left"/>
        <w:rPr>
          <w:rFonts w:ascii="宋体" w:hAnsi="宋体" w:eastAsia="宋体" w:cs="宋体"/>
          <w:kern w:val="0"/>
          <w:szCs w:val="28"/>
        </w:rPr>
      </w:pPr>
      <w:r>
        <w:rPr>
          <w:rFonts w:hint="eastAsia" w:ascii="宋体" w:hAnsi="宋体" w:eastAsia="宋体" w:cs="宋体"/>
          <w:b/>
          <w:bCs/>
          <w:kern w:val="0"/>
          <w:sz w:val="24"/>
          <w:szCs w:val="24"/>
        </w:rPr>
        <w:t xml:space="preserve">五、 </w:t>
      </w:r>
      <w:r>
        <w:rPr>
          <w:rFonts w:ascii="宋体" w:hAnsi="宋体" w:eastAsia="宋体" w:cs="宋体"/>
          <w:b/>
          <w:bCs/>
          <w:kern w:val="0"/>
          <w:sz w:val="24"/>
          <w:szCs w:val="24"/>
        </w:rPr>
        <w:t>认证</w:t>
      </w:r>
      <w:r>
        <w:rPr>
          <w:rFonts w:hint="eastAsia" w:ascii="宋体" w:hAnsi="宋体" w:eastAsia="宋体" w:cs="宋体"/>
          <w:b/>
          <w:bCs/>
          <w:kern w:val="0"/>
          <w:sz w:val="24"/>
          <w:szCs w:val="24"/>
        </w:rPr>
        <w:t>机构</w:t>
      </w:r>
      <w:r>
        <w:rPr>
          <w:rFonts w:ascii="宋体" w:hAnsi="宋体" w:eastAsia="宋体" w:cs="宋体"/>
          <w:b/>
          <w:kern w:val="0"/>
          <w:sz w:val="24"/>
          <w:szCs w:val="24"/>
        </w:rPr>
        <w:t>负责人</w:t>
      </w:r>
      <w:r>
        <w:rPr>
          <w:rFonts w:hint="eastAsia" w:ascii="宋体" w:hAnsi="宋体" w:eastAsia="宋体" w:cs="宋体"/>
          <w:kern w:val="0"/>
          <w:sz w:val="24"/>
          <w:szCs w:val="24"/>
        </w:rPr>
        <w:t>(</w:t>
      </w:r>
      <w:r>
        <w:rPr>
          <w:rFonts w:ascii="宋体" w:hAnsi="宋体" w:eastAsia="宋体" w:cs="宋体"/>
          <w:kern w:val="0"/>
          <w:sz w:val="24"/>
          <w:szCs w:val="24"/>
        </w:rPr>
        <w:t>签字</w:t>
      </w:r>
      <w:r>
        <w:rPr>
          <w:rFonts w:hint="eastAsia" w:ascii="宋体" w:hAnsi="宋体" w:eastAsia="宋体" w:cs="宋体"/>
          <w:kern w:val="0"/>
          <w:sz w:val="24"/>
          <w:szCs w:val="24"/>
        </w:rPr>
        <w:t>)</w:t>
      </w:r>
      <w:r>
        <w:rPr>
          <w:rFonts w:ascii="宋体" w:hAnsi="宋体" w:eastAsia="宋体" w:cs="宋体"/>
          <w:kern w:val="0"/>
          <w:sz w:val="24"/>
          <w:szCs w:val="24"/>
        </w:rPr>
        <w:t>：日期：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auto"/>
    <w:pitch w:val="default"/>
    <w:sig w:usb0="E00002FF" w:usb1="420024FF" w:usb2="00000000" w:usb3="00000000" w:csb0="2000019F"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9"/>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B0EF0"/>
    <w:multiLevelType w:val="singleLevel"/>
    <w:tmpl w:val="64AB0EF0"/>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243A"/>
    <w:rsid w:val="00A52EA1"/>
    <w:rsid w:val="00B7243A"/>
    <w:rsid w:val="03FF5128"/>
    <w:rsid w:val="07B328F6"/>
    <w:rsid w:val="083B39D3"/>
    <w:rsid w:val="0A177C14"/>
    <w:rsid w:val="0A516B84"/>
    <w:rsid w:val="0B57046D"/>
    <w:rsid w:val="0B6C2A56"/>
    <w:rsid w:val="0BB35003"/>
    <w:rsid w:val="0E704FB4"/>
    <w:rsid w:val="0E942302"/>
    <w:rsid w:val="166311BE"/>
    <w:rsid w:val="189A70A2"/>
    <w:rsid w:val="195E4409"/>
    <w:rsid w:val="1B9A6171"/>
    <w:rsid w:val="1BC02A1D"/>
    <w:rsid w:val="1D7037F9"/>
    <w:rsid w:val="1EFE69EC"/>
    <w:rsid w:val="203A5AC2"/>
    <w:rsid w:val="21536E07"/>
    <w:rsid w:val="216D1D2B"/>
    <w:rsid w:val="21FB5336"/>
    <w:rsid w:val="275152D5"/>
    <w:rsid w:val="278007B9"/>
    <w:rsid w:val="28321882"/>
    <w:rsid w:val="29DB6C6C"/>
    <w:rsid w:val="29FB0D69"/>
    <w:rsid w:val="2B041D22"/>
    <w:rsid w:val="2BC305DF"/>
    <w:rsid w:val="2CDC55FB"/>
    <w:rsid w:val="2D906FD0"/>
    <w:rsid w:val="2E4C69DF"/>
    <w:rsid w:val="2FD71F4C"/>
    <w:rsid w:val="2FF76FA2"/>
    <w:rsid w:val="30B13723"/>
    <w:rsid w:val="3129175E"/>
    <w:rsid w:val="33FC6BBB"/>
    <w:rsid w:val="36882F95"/>
    <w:rsid w:val="36EA488B"/>
    <w:rsid w:val="38FF3DD8"/>
    <w:rsid w:val="3A381812"/>
    <w:rsid w:val="3C327523"/>
    <w:rsid w:val="3EB83201"/>
    <w:rsid w:val="3F741497"/>
    <w:rsid w:val="436A1051"/>
    <w:rsid w:val="46731866"/>
    <w:rsid w:val="47F84D16"/>
    <w:rsid w:val="49896D42"/>
    <w:rsid w:val="4CFE0CB3"/>
    <w:rsid w:val="4D994832"/>
    <w:rsid w:val="4DFE697E"/>
    <w:rsid w:val="51706080"/>
    <w:rsid w:val="51D939BA"/>
    <w:rsid w:val="52CB0E15"/>
    <w:rsid w:val="52D72CB4"/>
    <w:rsid w:val="53D46C84"/>
    <w:rsid w:val="547452AC"/>
    <w:rsid w:val="575F2F01"/>
    <w:rsid w:val="57E57CBC"/>
    <w:rsid w:val="5E631CD1"/>
    <w:rsid w:val="5F7D7469"/>
    <w:rsid w:val="60CA2D01"/>
    <w:rsid w:val="60EC38CB"/>
    <w:rsid w:val="6198298A"/>
    <w:rsid w:val="638C6F3B"/>
    <w:rsid w:val="6705603D"/>
    <w:rsid w:val="6A5B093B"/>
    <w:rsid w:val="6B916D5B"/>
    <w:rsid w:val="6D7D5EE8"/>
    <w:rsid w:val="6DD61804"/>
    <w:rsid w:val="703B79D3"/>
    <w:rsid w:val="71A3123E"/>
    <w:rsid w:val="750F5271"/>
    <w:rsid w:val="751A5B0C"/>
    <w:rsid w:val="75BF63F2"/>
    <w:rsid w:val="778C2AB7"/>
    <w:rsid w:val="78DA14BD"/>
    <w:rsid w:val="7A741B2F"/>
    <w:rsid w:val="7BFC4B90"/>
    <w:rsid w:val="7C134880"/>
    <w:rsid w:val="7EFA2C93"/>
    <w:rsid w:val="7F7258B0"/>
    <w:rsid w:val="7FC9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418</Words>
  <Characters>2389</Characters>
  <Lines>19</Lines>
  <Paragraphs>5</Paragraphs>
  <TotalTime>23</TotalTime>
  <ScaleCrop>false</ScaleCrop>
  <LinksUpToDate>false</LinksUpToDate>
  <CharactersWithSpaces>2802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2020-11-09T06:24:56Z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