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360" w:lineRule="auto"/>
        <w:jc w:val="right"/>
        <w:rPr>
          <w:rFonts w:ascii="宋体" w:hAnsi="宋体"/>
          <w:szCs w:val="21"/>
        </w:rPr>
      </w:pPr>
      <w:r>
        <w:rPr>
          <w:rFonts w:ascii="宋体" w:hAnsi="宋体"/>
          <w:szCs w:val="21"/>
        </w:rPr>
        <w:t>编号：</w:t>
      </w:r>
      <w:r>
        <w:rPr>
          <w:rFonts w:hint="eastAsia"/>
          <w:szCs w:val="21"/>
          <w:u w:val="single"/>
        </w:rPr>
        <w:t>0070-2</w:t>
      </w:r>
      <w:r>
        <w:rPr>
          <w:szCs w:val="21"/>
          <w:u w:val="single"/>
        </w:rPr>
        <w:t>0</w:t>
      </w:r>
      <w:r>
        <w:rPr>
          <w:rFonts w:hint="eastAsia"/>
          <w:szCs w:val="21"/>
          <w:u w:val="single"/>
        </w:rPr>
        <w:t>16</w:t>
      </w:r>
      <w:r>
        <w:rPr>
          <w:szCs w:val="21"/>
          <w:u w:val="single"/>
        </w:rPr>
        <w:t>-20</w:t>
      </w:r>
      <w:r>
        <w:rPr>
          <w:rFonts w:hint="eastAsia"/>
          <w:szCs w:val="21"/>
          <w:u w:val="single"/>
        </w:rPr>
        <w:t>20</w:t>
      </w:r>
    </w:p>
    <w:p>
      <w:pPr>
        <w:jc w:val="center"/>
        <w:rPr>
          <w:rFonts w:ascii="宋体" w:hAnsi="宋体"/>
          <w:b/>
          <w:sz w:val="30"/>
          <w:szCs w:val="30"/>
        </w:rPr>
      </w:pPr>
      <w:r>
        <w:rPr>
          <w:rFonts w:hint="eastAsia"/>
          <w:b/>
          <w:sz w:val="30"/>
          <w:szCs w:val="30"/>
        </w:rPr>
        <w:t>审核员</w:t>
      </w:r>
      <w:r>
        <w:rPr>
          <w:rFonts w:hint="eastAsia" w:ascii="宋体" w:hAnsi="宋体"/>
          <w:b/>
          <w:sz w:val="30"/>
          <w:szCs w:val="30"/>
        </w:rPr>
        <w:t>现场审核记录</w:t>
      </w:r>
    </w:p>
    <w:p>
      <w:pPr>
        <w:spacing w:line="360" w:lineRule="auto"/>
        <w:rPr>
          <w:sz w:val="24"/>
          <w:szCs w:val="24"/>
        </w:rPr>
      </w:pPr>
      <w:r>
        <w:rPr>
          <w:rFonts w:hint="eastAsia"/>
          <w:sz w:val="24"/>
          <w:szCs w:val="24"/>
        </w:rPr>
        <w:t>企业名称:  上海凯科阀门制造有限公司</w:t>
      </w:r>
    </w:p>
    <w:p>
      <w:pPr>
        <w:spacing w:line="360" w:lineRule="auto"/>
        <w:rPr>
          <w:sz w:val="24"/>
          <w:szCs w:val="24"/>
        </w:rPr>
      </w:pPr>
      <w:r>
        <w:rPr>
          <w:rFonts w:hint="eastAsia"/>
          <w:sz w:val="24"/>
          <w:szCs w:val="24"/>
        </w:rPr>
        <w:t>审核员：  陈秉桦                                    审核日期：2020年11月09日</w:t>
      </w:r>
    </w:p>
    <w:tbl>
      <w:tblPr>
        <w:tblStyle w:val="6"/>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925"/>
        <w:gridCol w:w="993"/>
        <w:gridCol w:w="4961"/>
        <w:gridCol w:w="99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1" w:type="dxa"/>
            <w:vAlign w:val="center"/>
          </w:tcPr>
          <w:p>
            <w:pPr>
              <w:spacing w:line="320" w:lineRule="exact"/>
              <w:rPr>
                <w:szCs w:val="21"/>
              </w:rPr>
            </w:pPr>
            <w:r>
              <w:rPr>
                <w:rFonts w:hint="eastAsia"/>
                <w:szCs w:val="21"/>
              </w:rPr>
              <w:t>序号</w:t>
            </w:r>
          </w:p>
        </w:tc>
        <w:tc>
          <w:tcPr>
            <w:tcW w:w="1925" w:type="dxa"/>
            <w:vAlign w:val="center"/>
          </w:tcPr>
          <w:p>
            <w:pPr>
              <w:spacing w:line="320" w:lineRule="exact"/>
              <w:rPr>
                <w:rFonts w:ascii="宋体" w:hAnsi="宋体"/>
                <w:szCs w:val="21"/>
              </w:rPr>
            </w:pPr>
            <w:r>
              <w:rPr>
                <w:rFonts w:hint="eastAsia"/>
                <w:szCs w:val="21"/>
              </w:rPr>
              <w:t>审核</w:t>
            </w:r>
            <w:r>
              <w:rPr>
                <w:rFonts w:hint="eastAsia" w:ascii="宋体" w:hAnsi="宋体"/>
                <w:szCs w:val="21"/>
              </w:rPr>
              <w:t>内容</w:t>
            </w:r>
          </w:p>
          <w:p>
            <w:pPr>
              <w:spacing w:line="320" w:lineRule="exact"/>
              <w:rPr>
                <w:rFonts w:ascii="宋体" w:hAnsi="宋体"/>
                <w:szCs w:val="21"/>
              </w:rPr>
            </w:pPr>
            <w:r>
              <w:rPr>
                <w:rFonts w:hint="eastAsia" w:ascii="宋体" w:hAnsi="宋体"/>
                <w:szCs w:val="21"/>
              </w:rPr>
              <w:t>及抽样要求</w:t>
            </w:r>
          </w:p>
        </w:tc>
        <w:tc>
          <w:tcPr>
            <w:tcW w:w="993" w:type="dxa"/>
            <w:vAlign w:val="center"/>
          </w:tcPr>
          <w:p>
            <w:pPr>
              <w:rPr>
                <w:rFonts w:ascii="宋体" w:hAnsi="宋体"/>
                <w:szCs w:val="21"/>
              </w:rPr>
            </w:pPr>
            <w:r>
              <w:rPr>
                <w:rFonts w:hint="eastAsia" w:ascii="宋体" w:hAnsi="宋体"/>
                <w:szCs w:val="21"/>
              </w:rPr>
              <w:t>对应的</w:t>
            </w:r>
          </w:p>
          <w:p>
            <w:pPr>
              <w:rPr>
                <w:rFonts w:ascii="宋体" w:hAnsi="宋体"/>
                <w:szCs w:val="21"/>
              </w:rPr>
            </w:pPr>
            <w:r>
              <w:rPr>
                <w:rFonts w:hint="eastAsia" w:ascii="宋体" w:hAnsi="宋体"/>
                <w:szCs w:val="21"/>
              </w:rPr>
              <w:t>标准条款</w:t>
            </w:r>
          </w:p>
        </w:tc>
        <w:tc>
          <w:tcPr>
            <w:tcW w:w="4961" w:type="dxa"/>
            <w:vAlign w:val="center"/>
          </w:tcPr>
          <w:p>
            <w:pPr>
              <w:jc w:val="center"/>
              <w:rPr>
                <w:rFonts w:ascii="宋体" w:hAnsi="宋体"/>
                <w:szCs w:val="21"/>
              </w:rPr>
            </w:pPr>
            <w:r>
              <w:rPr>
                <w:rFonts w:hint="eastAsia" w:ascii="宋体" w:hAnsi="宋体"/>
                <w:szCs w:val="21"/>
              </w:rPr>
              <w:t>审核记录</w:t>
            </w:r>
          </w:p>
          <w:p>
            <w:pPr>
              <w:jc w:val="center"/>
              <w:rPr>
                <w:rFonts w:ascii="宋体" w:hAnsi="宋体"/>
                <w:szCs w:val="21"/>
              </w:rPr>
            </w:pPr>
            <w:r>
              <w:rPr>
                <w:rFonts w:hint="eastAsia" w:ascii="宋体" w:hAnsi="宋体"/>
                <w:szCs w:val="21"/>
              </w:rPr>
              <w:t>及说明</w:t>
            </w:r>
          </w:p>
        </w:tc>
        <w:tc>
          <w:tcPr>
            <w:tcW w:w="992" w:type="dxa"/>
            <w:vAlign w:val="center"/>
          </w:tcPr>
          <w:p>
            <w:pPr>
              <w:rPr>
                <w:rFonts w:ascii="宋体" w:hAnsi="宋体"/>
                <w:szCs w:val="21"/>
              </w:rPr>
            </w:pPr>
            <w:r>
              <w:rPr>
                <w:rFonts w:hint="eastAsia"/>
                <w:szCs w:val="21"/>
              </w:rPr>
              <w:t>审核部门</w:t>
            </w:r>
          </w:p>
        </w:tc>
        <w:tc>
          <w:tcPr>
            <w:tcW w:w="794" w:type="dxa"/>
            <w:vAlign w:val="center"/>
          </w:tcPr>
          <w:p>
            <w:pPr>
              <w:rPr>
                <w:rFonts w:ascii="宋体" w:hAnsi="宋体"/>
                <w:szCs w:val="21"/>
              </w:rPr>
            </w:pPr>
            <w:r>
              <w:rPr>
                <w:rFonts w:hint="eastAsia" w:ascii="宋体" w:hAnsi="宋体"/>
                <w:szCs w:val="21"/>
              </w:rPr>
              <w:t>是否列入</w:t>
            </w:r>
          </w:p>
          <w:p>
            <w:pP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1</w:t>
            </w:r>
          </w:p>
        </w:tc>
        <w:tc>
          <w:tcPr>
            <w:tcW w:w="1925" w:type="dxa"/>
            <w:vAlign w:val="center"/>
          </w:tcPr>
          <w:p>
            <w:pPr>
              <w:spacing w:line="320" w:lineRule="exact"/>
              <w:rPr>
                <w:rFonts w:ascii="宋体" w:hAnsi="宋体"/>
                <w:szCs w:val="21"/>
              </w:rPr>
            </w:pPr>
            <w:r>
              <w:rPr>
                <w:rFonts w:hint="eastAsia" w:ascii="宋体" w:hAnsi="宋体"/>
                <w:szCs w:val="21"/>
              </w:rPr>
              <w:t>抽查企业(4-5)台件测量设备是否处于有效的校准状态？</w:t>
            </w:r>
          </w:p>
          <w:p>
            <w:pPr>
              <w:spacing w:line="320" w:lineRule="exact"/>
              <w:rPr>
                <w:rFonts w:ascii="宋体" w:hAnsi="宋体"/>
                <w:szCs w:val="21"/>
              </w:rPr>
            </w:pPr>
            <w:r>
              <w:rPr>
                <w:rFonts w:hint="eastAsia" w:ascii="宋体" w:hAnsi="宋体"/>
                <w:szCs w:val="21"/>
              </w:rPr>
              <w:t>是否有计量确认状态标识</w:t>
            </w:r>
          </w:p>
          <w:p>
            <w:pPr>
              <w:spacing w:line="320" w:lineRule="exact"/>
              <w:rPr>
                <w:rFonts w:ascii="宋体" w:hAnsi="宋体"/>
                <w:szCs w:val="21"/>
              </w:rPr>
            </w:pPr>
            <w:r>
              <w:rPr>
                <w:rFonts w:hint="eastAsia" w:ascii="宋体" w:hAnsi="宋体"/>
                <w:szCs w:val="21"/>
              </w:rPr>
              <w:t>使用环境条件是否满足要求？是否需要修正？</w:t>
            </w:r>
          </w:p>
          <w:p>
            <w:pPr>
              <w:spacing w:line="320" w:lineRule="exact"/>
              <w:rPr>
                <w:rFonts w:ascii="宋体" w:hAnsi="宋体"/>
                <w:szCs w:val="21"/>
              </w:rPr>
            </w:pPr>
            <w:r>
              <w:rPr>
                <w:rFonts w:hint="eastAsia" w:ascii="宋体" w:hAnsi="宋体"/>
                <w:szCs w:val="21"/>
              </w:rPr>
              <w:t>测量设备的有关信息是否和检定证书台账信息一致？</w:t>
            </w:r>
          </w:p>
          <w:p>
            <w:pPr>
              <w:spacing w:line="320" w:lineRule="exact"/>
              <w:rPr>
                <w:rFonts w:ascii="宋体" w:hAnsi="宋体"/>
                <w:szCs w:val="21"/>
              </w:rPr>
            </w:pPr>
          </w:p>
          <w:p>
            <w:pPr>
              <w:spacing w:line="320" w:lineRule="exact"/>
              <w:rPr>
                <w:rFonts w:ascii="宋体" w:hAnsi="宋体"/>
                <w:szCs w:val="21"/>
              </w:rPr>
            </w:pPr>
          </w:p>
        </w:tc>
        <w:tc>
          <w:tcPr>
            <w:tcW w:w="993" w:type="dxa"/>
            <w:vAlign w:val="center"/>
          </w:tcPr>
          <w:p>
            <w:pPr>
              <w:rPr>
                <w:rFonts w:ascii="宋体" w:hAnsi="宋体"/>
                <w:szCs w:val="21"/>
              </w:rPr>
            </w:pPr>
            <w:r>
              <w:rPr>
                <w:rFonts w:hint="eastAsia" w:ascii="宋体" w:hAnsi="宋体"/>
                <w:szCs w:val="21"/>
              </w:rPr>
              <w:t>6.2.4标识</w:t>
            </w:r>
          </w:p>
          <w:p>
            <w:pPr>
              <w:rPr>
                <w:rFonts w:ascii="宋体" w:hAnsi="宋体"/>
                <w:szCs w:val="21"/>
              </w:rPr>
            </w:pPr>
            <w:r>
              <w:rPr>
                <w:rFonts w:hint="eastAsia" w:ascii="宋体" w:hAnsi="宋体"/>
                <w:szCs w:val="21"/>
              </w:rPr>
              <w:t>6.3.1测量设备</w:t>
            </w:r>
          </w:p>
          <w:p>
            <w:pPr>
              <w:rPr>
                <w:rFonts w:ascii="宋体" w:hAnsi="宋体"/>
                <w:szCs w:val="21"/>
              </w:rPr>
            </w:pPr>
            <w:r>
              <w:rPr>
                <w:rFonts w:hint="eastAsia" w:ascii="宋体" w:hAnsi="宋体"/>
                <w:szCs w:val="21"/>
              </w:rPr>
              <w:t>7.3.2溯源性</w:t>
            </w:r>
          </w:p>
        </w:tc>
        <w:tc>
          <w:tcPr>
            <w:tcW w:w="4961" w:type="dxa"/>
            <w:vAlign w:val="center"/>
          </w:tcPr>
          <w:p>
            <w:pPr>
              <w:spacing w:line="320" w:lineRule="exact"/>
              <w:ind w:firstLine="420" w:firstLineChars="200"/>
              <w:rPr>
                <w:rFonts w:ascii="宋体" w:hAnsi="宋体"/>
                <w:szCs w:val="21"/>
              </w:rPr>
            </w:pPr>
          </w:p>
          <w:p>
            <w:pPr>
              <w:spacing w:line="400" w:lineRule="exact"/>
              <w:ind w:firstLine="315" w:firstLineChars="150"/>
              <w:jc w:val="left"/>
              <w:rPr>
                <w:rFonts w:ascii="宋体"/>
                <w:color w:val="000000"/>
                <w:szCs w:val="21"/>
              </w:rPr>
            </w:pPr>
            <w:r>
              <w:rPr>
                <w:rFonts w:ascii="宋体"/>
                <w:color w:val="000000"/>
                <w:szCs w:val="21"/>
              </w:rPr>
              <w:t>企业测量设备处于有效的校准状态</w:t>
            </w:r>
            <w:r>
              <w:rPr>
                <w:rFonts w:hint="eastAsia" w:ascii="宋体"/>
                <w:color w:val="000000"/>
                <w:szCs w:val="21"/>
              </w:rPr>
              <w:t>，有计量确认标识，使用环境符合要求。</w:t>
            </w:r>
          </w:p>
          <w:p>
            <w:pPr>
              <w:spacing w:line="400" w:lineRule="exact"/>
              <w:ind w:firstLine="315" w:firstLineChars="150"/>
              <w:jc w:val="left"/>
              <w:rPr>
                <w:rFonts w:ascii="宋体"/>
                <w:color w:val="000000"/>
                <w:szCs w:val="21"/>
              </w:rPr>
            </w:pPr>
            <w:r>
              <w:rPr>
                <w:rFonts w:hint="eastAsia" w:ascii="宋体"/>
                <w:color w:val="000000"/>
                <w:szCs w:val="21"/>
              </w:rPr>
              <w:t>查企业生产部、质检部，生产车间，抽查现场5台测量设备，测量设备有计量确认标</w:t>
            </w:r>
            <w:r>
              <w:rPr>
                <w:rFonts w:hint="eastAsia" w:ascii="宋体"/>
                <w:szCs w:val="21"/>
              </w:rPr>
              <w:t>识，</w:t>
            </w:r>
            <w:r>
              <w:rPr>
                <w:rFonts w:hint="eastAsia" w:ascii="宋体"/>
                <w:color w:val="000000"/>
                <w:szCs w:val="21"/>
              </w:rPr>
              <w:t>标识清晰，由上海市质量监督检验技术研究院和</w:t>
            </w:r>
            <w:r>
              <w:rPr>
                <w:rFonts w:ascii="宋体"/>
                <w:color w:val="000000"/>
                <w:szCs w:val="21"/>
              </w:rPr>
              <w:t>上海恒河计量校准有限公司</w:t>
            </w:r>
            <w:r>
              <w:rPr>
                <w:rFonts w:hint="eastAsia" w:ascii="宋体"/>
                <w:color w:val="000000"/>
                <w:szCs w:val="21"/>
              </w:rPr>
              <w:t>进行检定/校准。</w:t>
            </w:r>
          </w:p>
          <w:p>
            <w:pPr>
              <w:spacing w:line="400" w:lineRule="exact"/>
              <w:ind w:firstLine="315" w:firstLineChars="150"/>
              <w:jc w:val="left"/>
              <w:rPr>
                <w:rFonts w:hint="eastAsia" w:ascii="宋体"/>
                <w:color w:val="000000"/>
                <w:szCs w:val="21"/>
              </w:rPr>
            </w:pPr>
            <w:r>
              <w:rPr>
                <w:rFonts w:hint="eastAsia" w:ascii="宋体"/>
                <w:color w:val="000000"/>
                <w:szCs w:val="21"/>
              </w:rPr>
              <w:t>现场抽查生产部生产车间：</w:t>
            </w:r>
          </w:p>
          <w:p>
            <w:pPr>
              <w:spacing w:line="400" w:lineRule="exact"/>
              <w:ind w:firstLine="315" w:firstLineChars="150"/>
              <w:jc w:val="left"/>
              <w:rPr>
                <w:rFonts w:ascii="宋体"/>
                <w:color w:val="000000"/>
                <w:szCs w:val="21"/>
              </w:rPr>
            </w:pPr>
            <w:r>
              <w:rPr>
                <w:rFonts w:hint="eastAsia" w:ascii="宋体"/>
                <w:color w:val="000000"/>
                <w:szCs w:val="21"/>
              </w:rPr>
              <w:t>编号：SH19044791/SKV-639游标卡尺，计量检定日期：2020.4.29.，有效期：2021.04.28.</w:t>
            </w:r>
          </w:p>
          <w:p>
            <w:pPr>
              <w:spacing w:line="400" w:lineRule="exact"/>
              <w:ind w:firstLine="315" w:firstLineChars="150"/>
              <w:jc w:val="left"/>
              <w:rPr>
                <w:rFonts w:hint="eastAsia" w:ascii="宋体"/>
                <w:color w:val="000000"/>
                <w:szCs w:val="21"/>
              </w:rPr>
            </w:pPr>
            <w:r>
              <w:rPr>
                <w:rFonts w:hint="eastAsia" w:ascii="宋体"/>
                <w:color w:val="000000"/>
                <w:szCs w:val="21"/>
              </w:rPr>
              <w:t>编号00000072电子汽车衡，计量检定日期：2020.4.22.有效期：2021.04.21.</w:t>
            </w:r>
            <w:r>
              <w:rPr>
                <w:rFonts w:ascii="宋体"/>
                <w:color w:val="000000"/>
                <w:szCs w:val="21"/>
              </w:rPr>
              <w:t xml:space="preserve"> </w:t>
            </w:r>
          </w:p>
          <w:p>
            <w:pPr>
              <w:spacing w:line="400" w:lineRule="exact"/>
              <w:ind w:firstLine="315" w:firstLineChars="150"/>
              <w:jc w:val="left"/>
              <w:rPr>
                <w:rFonts w:ascii="宋体"/>
                <w:color w:val="000000"/>
                <w:szCs w:val="21"/>
              </w:rPr>
            </w:pPr>
            <w:r>
              <w:rPr>
                <w:rFonts w:hint="eastAsia" w:ascii="宋体"/>
                <w:color w:val="000000"/>
                <w:szCs w:val="21"/>
              </w:rPr>
              <w:t>编号03106064/SKV-S10深度卡尺，计量检定日期：2020.4.29.有效期：2021.04.28.</w:t>
            </w:r>
          </w:p>
          <w:p>
            <w:pPr>
              <w:spacing w:line="400" w:lineRule="exact"/>
              <w:ind w:firstLine="315" w:firstLineChars="150"/>
              <w:jc w:val="left"/>
              <w:rPr>
                <w:rFonts w:hint="eastAsia" w:ascii="宋体"/>
                <w:color w:val="000000"/>
                <w:szCs w:val="21"/>
              </w:rPr>
            </w:pPr>
            <w:r>
              <w:rPr>
                <w:rFonts w:hint="eastAsia" w:ascii="宋体"/>
                <w:color w:val="000000"/>
                <w:szCs w:val="21"/>
              </w:rPr>
              <w:t>现场抽查质检部：</w:t>
            </w:r>
          </w:p>
          <w:p>
            <w:pPr>
              <w:spacing w:line="400" w:lineRule="exact"/>
              <w:ind w:firstLine="315" w:firstLineChars="150"/>
              <w:jc w:val="left"/>
              <w:rPr>
                <w:rFonts w:ascii="宋体"/>
                <w:color w:val="000000"/>
                <w:szCs w:val="21"/>
              </w:rPr>
            </w:pPr>
            <w:r>
              <w:rPr>
                <w:rFonts w:hint="eastAsia" w:ascii="宋体"/>
                <w:color w:val="000000"/>
                <w:szCs w:val="21"/>
              </w:rPr>
              <w:t>编号R91041220洛氏硬度计，是高度控制过程测量设备，有计量确认标识，计量确认日期：2020.04.24.，有效期：2021.04.20.;</w:t>
            </w:r>
          </w:p>
          <w:p>
            <w:pPr>
              <w:spacing w:line="400" w:lineRule="exact"/>
              <w:ind w:firstLine="315" w:firstLineChars="150"/>
              <w:jc w:val="left"/>
              <w:rPr>
                <w:rFonts w:ascii="宋体"/>
                <w:color w:val="000000"/>
                <w:szCs w:val="21"/>
              </w:rPr>
            </w:pPr>
            <w:r>
              <w:rPr>
                <w:rFonts w:hint="eastAsia" w:ascii="宋体"/>
                <w:color w:val="000000"/>
                <w:szCs w:val="21"/>
              </w:rPr>
              <w:t>编号SKV-W外径千分尺，有计量确认标识，计量确认日期：2020.04.29.，有效期：2021.04.28.。</w:t>
            </w:r>
          </w:p>
          <w:p>
            <w:pPr>
              <w:spacing w:line="400" w:lineRule="exact"/>
              <w:ind w:firstLine="315" w:firstLineChars="150"/>
              <w:jc w:val="left"/>
              <w:rPr>
                <w:rFonts w:ascii="宋体"/>
                <w:color w:val="000000"/>
                <w:szCs w:val="21"/>
              </w:rPr>
            </w:pPr>
            <w:r>
              <w:rPr>
                <w:rFonts w:hint="eastAsia" w:ascii="宋体"/>
                <w:color w:val="000000"/>
                <w:szCs w:val="21"/>
              </w:rPr>
              <w:t>查《计量器具一览表》和《计量器具检定/校准台账》，共287台件测量设备，现场测量设备的有关信息和检定证书台账信息一致。</w:t>
            </w:r>
          </w:p>
          <w:p>
            <w:pPr>
              <w:spacing w:line="400" w:lineRule="exact"/>
              <w:ind w:firstLine="315" w:firstLineChars="150"/>
              <w:jc w:val="left"/>
              <w:rPr>
                <w:rFonts w:ascii="宋体"/>
                <w:color w:val="000000"/>
                <w:szCs w:val="21"/>
              </w:rPr>
            </w:pPr>
            <w:r>
              <w:rPr>
                <w:rFonts w:hint="eastAsia" w:ascii="宋体"/>
                <w:color w:val="000000"/>
                <w:szCs w:val="21"/>
              </w:rPr>
              <w:t>测量设备使用符合环境要求。</w:t>
            </w:r>
          </w:p>
          <w:p>
            <w:pPr>
              <w:spacing w:line="400" w:lineRule="exact"/>
              <w:ind w:firstLine="315" w:firstLineChars="150"/>
              <w:jc w:val="left"/>
              <w:rPr>
                <w:rFonts w:ascii="宋体"/>
                <w:color w:val="000000" w:themeColor="text1"/>
                <w:szCs w:val="21"/>
              </w:rPr>
            </w:pPr>
            <w:r>
              <w:rPr>
                <w:rFonts w:hint="eastAsia" w:ascii="宋体"/>
                <w:color w:val="000000" w:themeColor="text1"/>
                <w:szCs w:val="21"/>
              </w:rPr>
              <w:t>其中：强制检定测量设备1台件，现场测量设备的有关信息和检定证书台账信息一致。</w:t>
            </w:r>
          </w:p>
          <w:p>
            <w:pPr>
              <w:spacing w:line="320" w:lineRule="exact"/>
              <w:ind w:firstLine="420" w:firstLineChars="200"/>
              <w:rPr>
                <w:rFonts w:ascii="宋体" w:hAnsi="宋体"/>
                <w:szCs w:val="21"/>
              </w:rPr>
            </w:pPr>
          </w:p>
        </w:tc>
        <w:tc>
          <w:tcPr>
            <w:tcW w:w="992" w:type="dxa"/>
            <w:vAlign w:val="center"/>
          </w:tcPr>
          <w:p>
            <w:pPr>
              <w:rPr>
                <w:rFonts w:ascii="宋体" w:hAnsi="宋体"/>
                <w:szCs w:val="21"/>
              </w:rPr>
            </w:pPr>
            <w:r>
              <w:rPr>
                <w:rFonts w:hint="eastAsia" w:ascii="宋体" w:hAnsi="宋体"/>
                <w:szCs w:val="21"/>
              </w:rPr>
              <w:t>生产部（生产车间）</w:t>
            </w:r>
          </w:p>
          <w:p>
            <w:pPr>
              <w:rPr>
                <w:rFonts w:ascii="宋体" w:hAnsi="宋体"/>
                <w:szCs w:val="21"/>
              </w:rPr>
            </w:pPr>
            <w:r>
              <w:rPr>
                <w:rFonts w:hint="eastAsia" w:ascii="宋体" w:hAnsi="宋体"/>
                <w:szCs w:val="21"/>
              </w:rPr>
              <w:t>质检部</w:t>
            </w:r>
          </w:p>
        </w:tc>
        <w:tc>
          <w:tcPr>
            <w:tcW w:w="794"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2</w:t>
            </w:r>
          </w:p>
        </w:tc>
        <w:tc>
          <w:tcPr>
            <w:tcW w:w="1925" w:type="dxa"/>
            <w:vAlign w:val="center"/>
          </w:tcPr>
          <w:p>
            <w:pPr>
              <w:spacing w:line="320" w:lineRule="exact"/>
              <w:rPr>
                <w:rFonts w:ascii="宋体" w:hAnsi="宋体"/>
                <w:color w:val="000000" w:themeColor="text1"/>
                <w:szCs w:val="21"/>
              </w:rPr>
            </w:pPr>
          </w:p>
          <w:p>
            <w:pPr>
              <w:spacing w:line="320" w:lineRule="exact"/>
              <w:rPr>
                <w:rFonts w:ascii="宋体" w:hAnsi="宋体"/>
                <w:color w:val="000000" w:themeColor="text1"/>
                <w:szCs w:val="21"/>
              </w:rPr>
            </w:pPr>
            <w:r>
              <w:rPr>
                <w:rFonts w:hint="eastAsia" w:ascii="宋体" w:hAnsi="宋体"/>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pPr>
              <w:rPr>
                <w:rFonts w:ascii="宋体" w:hAnsi="宋体"/>
                <w:szCs w:val="21"/>
              </w:rPr>
            </w:pPr>
            <w:r>
              <w:rPr>
                <w:rFonts w:hint="eastAsia" w:ascii="宋体" w:hAnsi="宋体"/>
                <w:szCs w:val="21"/>
              </w:rPr>
              <w:t>7.1.计量确认</w:t>
            </w:r>
          </w:p>
          <w:p>
            <w:pPr>
              <w:rPr>
                <w:rFonts w:ascii="宋体" w:hAnsi="宋体"/>
                <w:szCs w:val="21"/>
              </w:rPr>
            </w:pPr>
          </w:p>
        </w:tc>
        <w:tc>
          <w:tcPr>
            <w:tcW w:w="4961" w:type="dxa"/>
            <w:vAlign w:val="center"/>
          </w:tcPr>
          <w:p>
            <w:pPr>
              <w:spacing w:line="400" w:lineRule="exact"/>
              <w:ind w:firstLine="315" w:firstLineChars="150"/>
              <w:jc w:val="left"/>
              <w:rPr>
                <w:rFonts w:ascii="宋体"/>
                <w:color w:val="000000"/>
                <w:szCs w:val="21"/>
              </w:rPr>
            </w:pPr>
          </w:p>
          <w:p>
            <w:pPr>
              <w:spacing w:line="400" w:lineRule="exact"/>
              <w:ind w:firstLine="315" w:firstLineChars="150"/>
              <w:jc w:val="left"/>
              <w:rPr>
                <w:rFonts w:ascii="宋体"/>
                <w:color w:val="000000"/>
                <w:szCs w:val="21"/>
              </w:rPr>
            </w:pPr>
            <w:r>
              <w:rPr>
                <w:rFonts w:hint="eastAsia" w:ascii="宋体"/>
                <w:color w:val="000000"/>
                <w:szCs w:val="21"/>
              </w:rPr>
              <w:t>查质检部《测量过程及控制一览表》，共有30个测量过程，分为关键测量过程和重要测量过程，抽查：关键测量</w:t>
            </w:r>
            <w:r>
              <w:rPr>
                <w:rFonts w:hint="eastAsia" w:ascii="宋体"/>
                <w:color w:val="000000"/>
                <w:szCs w:val="21"/>
                <w:lang w:val="en-US" w:eastAsia="zh-CN"/>
              </w:rPr>
              <w:t>过程</w:t>
            </w:r>
            <w:r>
              <w:rPr>
                <w:rFonts w:hint="eastAsia" w:ascii="宋体"/>
                <w:color w:val="000000"/>
                <w:szCs w:val="21"/>
              </w:rPr>
              <w:t>《闸板密封面硬度检测》的测量过程，测量要求识别正确，配备的测量设备经过检定/校准，验证方法正确。</w:t>
            </w:r>
          </w:p>
          <w:p>
            <w:pPr>
              <w:spacing w:line="400" w:lineRule="exact"/>
              <w:ind w:firstLine="315" w:firstLineChars="150"/>
              <w:jc w:val="left"/>
              <w:rPr>
                <w:rFonts w:ascii="宋体"/>
                <w:color w:val="000000"/>
                <w:szCs w:val="21"/>
              </w:rPr>
            </w:pPr>
            <w:r>
              <w:rPr>
                <w:rFonts w:hint="eastAsia" w:ascii="宋体"/>
                <w:color w:val="000000"/>
                <w:szCs w:val="21"/>
              </w:rPr>
              <w:t>企业暂无验证不合格测量设备。</w:t>
            </w:r>
          </w:p>
        </w:tc>
        <w:tc>
          <w:tcPr>
            <w:tcW w:w="992" w:type="dxa"/>
            <w:vAlign w:val="center"/>
          </w:tcPr>
          <w:p>
            <w:pPr>
              <w:rPr>
                <w:rFonts w:ascii="宋体" w:hAnsi="宋体"/>
                <w:szCs w:val="21"/>
              </w:rPr>
            </w:pPr>
            <w:r>
              <w:rPr>
                <w:rFonts w:hint="eastAsia" w:ascii="宋体" w:hAnsi="宋体"/>
                <w:szCs w:val="21"/>
              </w:rPr>
              <w:t>生产部（生产车间）</w:t>
            </w:r>
          </w:p>
          <w:p>
            <w:pPr>
              <w:spacing w:line="320" w:lineRule="exact"/>
              <w:rPr>
                <w:rFonts w:ascii="宋体" w:hAnsi="宋体"/>
                <w:szCs w:val="21"/>
              </w:rPr>
            </w:pPr>
            <w:r>
              <w:rPr>
                <w:rFonts w:hint="eastAsia" w:ascii="宋体" w:hAnsi="宋体"/>
                <w:szCs w:val="21"/>
              </w:rPr>
              <w:t>质检部</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3</w:t>
            </w:r>
          </w:p>
        </w:tc>
        <w:tc>
          <w:tcPr>
            <w:tcW w:w="1925" w:type="dxa"/>
            <w:vAlign w:val="center"/>
          </w:tcPr>
          <w:p>
            <w:pPr>
              <w:spacing w:line="320" w:lineRule="exact"/>
              <w:ind w:firstLine="210" w:firstLineChars="100"/>
              <w:rPr>
                <w:rFonts w:ascii="宋体" w:hAnsi="宋体"/>
                <w:color w:val="000000" w:themeColor="text1"/>
                <w:szCs w:val="21"/>
              </w:rPr>
            </w:pPr>
            <w:r>
              <w:rPr>
                <w:rFonts w:hint="eastAsia" w:ascii="宋体" w:hAnsi="宋体"/>
                <w:color w:val="000000" w:themeColor="text1"/>
                <w:szCs w:val="21"/>
              </w:rPr>
              <w:t>企业是否有新增关键测量过程?抽查(1-2)个新增关键测量过程或原有关键测量过程是否编制控制规范进行控制、有效性确认？</w:t>
            </w:r>
          </w:p>
          <w:p>
            <w:pPr>
              <w:spacing w:line="320" w:lineRule="exact"/>
              <w:rPr>
                <w:rFonts w:ascii="宋体" w:hAnsi="宋体"/>
                <w:color w:val="000000" w:themeColor="text1"/>
                <w:szCs w:val="21"/>
              </w:rPr>
            </w:pPr>
          </w:p>
        </w:tc>
        <w:tc>
          <w:tcPr>
            <w:tcW w:w="993" w:type="dxa"/>
            <w:vAlign w:val="center"/>
          </w:tcPr>
          <w:p>
            <w:pPr>
              <w:rPr>
                <w:rFonts w:ascii="宋体" w:hAnsi="宋体"/>
                <w:szCs w:val="21"/>
              </w:rPr>
            </w:pPr>
            <w:r>
              <w:rPr>
                <w:rFonts w:hint="eastAsia" w:ascii="宋体" w:hAnsi="宋体"/>
                <w:szCs w:val="21"/>
              </w:rPr>
              <w:t>7.2测量过程</w:t>
            </w:r>
          </w:p>
          <w:p>
            <w:pPr>
              <w:rPr>
                <w:rFonts w:ascii="宋体" w:hAnsi="宋体"/>
                <w:szCs w:val="21"/>
              </w:rPr>
            </w:pPr>
          </w:p>
        </w:tc>
        <w:tc>
          <w:tcPr>
            <w:tcW w:w="4961" w:type="dxa"/>
            <w:vAlign w:val="center"/>
          </w:tcPr>
          <w:p>
            <w:pPr>
              <w:spacing w:line="400" w:lineRule="exact"/>
              <w:ind w:firstLine="315" w:firstLineChars="150"/>
              <w:jc w:val="left"/>
              <w:rPr>
                <w:rFonts w:ascii="宋体"/>
                <w:szCs w:val="21"/>
              </w:rPr>
            </w:pPr>
            <w:r>
              <w:rPr>
                <w:rFonts w:hint="eastAsia" w:ascii="宋体"/>
                <w:szCs w:val="21"/>
              </w:rPr>
              <w:t>企业没有新增</w:t>
            </w:r>
            <w:r>
              <w:rPr>
                <w:rFonts w:hint="eastAsia" w:ascii="宋体"/>
                <w:szCs w:val="21"/>
                <w:lang w:val="en-US" w:eastAsia="zh-CN"/>
              </w:rPr>
              <w:t>关键</w:t>
            </w:r>
            <w:r>
              <w:rPr>
                <w:rFonts w:hint="eastAsia" w:ascii="宋体"/>
                <w:szCs w:val="21"/>
              </w:rPr>
              <w:t>测量过程。</w:t>
            </w:r>
          </w:p>
          <w:p>
            <w:pPr>
              <w:spacing w:line="400" w:lineRule="exact"/>
              <w:ind w:firstLine="315" w:firstLineChars="150"/>
              <w:jc w:val="left"/>
              <w:rPr>
                <w:rFonts w:ascii="宋体"/>
                <w:szCs w:val="21"/>
              </w:rPr>
            </w:pPr>
            <w:r>
              <w:rPr>
                <w:rFonts w:hint="eastAsia" w:ascii="宋体"/>
                <w:szCs w:val="21"/>
              </w:rPr>
              <w:t>企业建立了</w:t>
            </w:r>
            <w:r>
              <w:rPr>
                <w:rFonts w:hint="eastAsia" w:ascii="宋体"/>
                <w:color w:val="000000"/>
                <w:szCs w:val="21"/>
              </w:rPr>
              <w:t>《</w:t>
            </w:r>
            <w:r>
              <w:rPr>
                <w:rFonts w:hint="eastAsia" w:ascii="宋体"/>
                <w:color w:val="000000" w:themeColor="text1"/>
                <w:szCs w:val="21"/>
              </w:rPr>
              <w:t>测量过程设计和实现控制程序</w:t>
            </w:r>
            <w:r>
              <w:rPr>
                <w:rFonts w:hint="eastAsia" w:ascii="宋体"/>
                <w:color w:val="000000"/>
                <w:szCs w:val="21"/>
              </w:rPr>
              <w:t>》</w:t>
            </w:r>
            <w:r>
              <w:rPr>
                <w:rFonts w:hint="eastAsia" w:ascii="宋体"/>
                <w:szCs w:val="21"/>
              </w:rPr>
              <w:t>程序，对测量过程的策划、识别、实施和控制做出了规定，</w:t>
            </w:r>
            <w:r>
              <w:rPr>
                <w:rFonts w:hint="eastAsia" w:ascii="宋体"/>
                <w:color w:val="000000"/>
                <w:szCs w:val="21"/>
              </w:rPr>
              <w:t>生产部、质检部按要求进行管理，符合标准的要求。</w:t>
            </w:r>
          </w:p>
          <w:p>
            <w:pPr>
              <w:spacing w:line="400" w:lineRule="exact"/>
              <w:ind w:firstLine="315" w:firstLineChars="150"/>
              <w:jc w:val="left"/>
              <w:rPr>
                <w:rFonts w:ascii="宋体"/>
                <w:szCs w:val="21"/>
              </w:rPr>
            </w:pPr>
            <w:r>
              <w:rPr>
                <w:rFonts w:hint="eastAsia" w:ascii="宋体"/>
                <w:szCs w:val="21"/>
              </w:rPr>
              <w:t>企业对</w:t>
            </w:r>
            <w:r>
              <w:rPr>
                <w:rFonts w:hint="eastAsia" w:ascii="宋体"/>
                <w:szCs w:val="21"/>
                <w:lang w:val="en-US" w:eastAsia="zh-CN"/>
              </w:rPr>
              <w:t>关键测量</w:t>
            </w:r>
            <w:r>
              <w:rPr>
                <w:rFonts w:hint="eastAsia" w:ascii="宋体"/>
                <w:szCs w:val="21"/>
              </w:rPr>
              <w:t>过程</w:t>
            </w:r>
            <w:r>
              <w:rPr>
                <w:rFonts w:hint="eastAsia" w:ascii="宋体"/>
                <w:color w:val="000000"/>
                <w:szCs w:val="21"/>
              </w:rPr>
              <w:t>《闸板密封面硬度检测》</w:t>
            </w:r>
            <w:r>
              <w:rPr>
                <w:rFonts w:hint="eastAsia" w:ascii="宋体"/>
                <w:color w:val="000000" w:themeColor="text1"/>
                <w:szCs w:val="21"/>
              </w:rPr>
              <w:t>进行了管理，具体</w:t>
            </w:r>
            <w:r>
              <w:rPr>
                <w:rFonts w:ascii="宋体"/>
                <w:szCs w:val="21"/>
              </w:rPr>
              <w:t>见</w:t>
            </w:r>
            <w:r>
              <w:rPr>
                <w:rFonts w:hint="eastAsia" w:ascii="宋体"/>
                <w:szCs w:val="21"/>
              </w:rPr>
              <w:t>：</w:t>
            </w:r>
            <w:r>
              <w:rPr>
                <w:rFonts w:hint="eastAsia" w:ascii="宋体"/>
                <w:color w:val="000000"/>
                <w:szCs w:val="21"/>
              </w:rPr>
              <w:t>《闸板密封面硬度检测》</w:t>
            </w:r>
            <w:r>
              <w:rPr>
                <w:rFonts w:hint="eastAsia" w:ascii="宋体"/>
                <w:szCs w:val="21"/>
              </w:rPr>
              <w:t>测量结果不确定度评定、有效性确认。具体见附件。</w:t>
            </w:r>
          </w:p>
          <w:p>
            <w:pPr>
              <w:spacing w:line="400" w:lineRule="exact"/>
              <w:ind w:firstLine="315" w:firstLineChars="150"/>
              <w:jc w:val="left"/>
              <w:rPr>
                <w:rFonts w:ascii="宋体"/>
                <w:color w:val="000000"/>
                <w:szCs w:val="21"/>
              </w:rPr>
            </w:pPr>
          </w:p>
        </w:tc>
        <w:tc>
          <w:tcPr>
            <w:tcW w:w="992" w:type="dxa"/>
            <w:vAlign w:val="center"/>
          </w:tcPr>
          <w:p>
            <w:pPr>
              <w:rPr>
                <w:rFonts w:ascii="宋体" w:hAnsi="宋体"/>
                <w:szCs w:val="21"/>
              </w:rPr>
            </w:pPr>
            <w:r>
              <w:rPr>
                <w:rFonts w:hint="eastAsia" w:ascii="宋体" w:hAnsi="宋体"/>
                <w:szCs w:val="21"/>
              </w:rPr>
              <w:t>生产部（生产车间）</w:t>
            </w:r>
          </w:p>
          <w:p>
            <w:pPr>
              <w:rPr>
                <w:rFonts w:ascii="宋体" w:hAnsi="宋体"/>
                <w:szCs w:val="21"/>
              </w:rPr>
            </w:pPr>
            <w:r>
              <w:rPr>
                <w:rFonts w:hint="eastAsia" w:ascii="宋体" w:hAnsi="宋体"/>
                <w:szCs w:val="21"/>
              </w:rPr>
              <w:t>质检部</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rPr>
                <w:rFonts w:ascii="宋体" w:hAnsi="宋体"/>
                <w:szCs w:val="21"/>
              </w:rPr>
            </w:pPr>
            <w:r>
              <w:rPr>
                <w:rFonts w:hint="eastAsia" w:ascii="宋体" w:hAnsi="宋体"/>
                <w:szCs w:val="21"/>
              </w:rPr>
              <w:t>4</w:t>
            </w:r>
          </w:p>
        </w:tc>
        <w:tc>
          <w:tcPr>
            <w:tcW w:w="1925" w:type="dxa"/>
            <w:vAlign w:val="center"/>
          </w:tcPr>
          <w:p>
            <w:pPr>
              <w:spacing w:line="320" w:lineRule="exact"/>
              <w:rPr>
                <w:rFonts w:ascii="宋体" w:hAnsi="宋体"/>
                <w:color w:val="000000" w:themeColor="text1"/>
                <w:szCs w:val="21"/>
              </w:rPr>
            </w:pPr>
          </w:p>
          <w:p>
            <w:pPr>
              <w:spacing w:line="320" w:lineRule="exact"/>
              <w:ind w:firstLine="210" w:firstLineChars="100"/>
              <w:rPr>
                <w:rFonts w:ascii="宋体" w:hAnsi="宋体"/>
                <w:color w:val="000000" w:themeColor="text1"/>
                <w:szCs w:val="21"/>
              </w:rPr>
            </w:pPr>
            <w:r>
              <w:rPr>
                <w:rFonts w:hint="eastAsia" w:ascii="宋体" w:hAnsi="宋体"/>
                <w:color w:val="000000" w:themeColor="text1"/>
                <w:szCs w:val="21"/>
              </w:rPr>
              <w:t>企业是否对计量确认过程和测量过程按照计划频次进行持续监视？</w:t>
            </w:r>
          </w:p>
        </w:tc>
        <w:tc>
          <w:tcPr>
            <w:tcW w:w="993" w:type="dxa"/>
            <w:vAlign w:val="center"/>
          </w:tcPr>
          <w:p>
            <w:pPr>
              <w:spacing w:line="320" w:lineRule="exact"/>
              <w:rPr>
                <w:rFonts w:ascii="宋体" w:hAnsi="宋体"/>
                <w:szCs w:val="21"/>
              </w:rPr>
            </w:pPr>
            <w:r>
              <w:rPr>
                <w:rFonts w:hint="eastAsia" w:ascii="宋体" w:hAnsi="宋体"/>
                <w:szCs w:val="21"/>
              </w:rPr>
              <w:t>8.2.4测量管理体系的监视</w:t>
            </w:r>
          </w:p>
        </w:tc>
        <w:tc>
          <w:tcPr>
            <w:tcW w:w="4961" w:type="dxa"/>
            <w:vAlign w:val="center"/>
          </w:tcPr>
          <w:p>
            <w:pPr>
              <w:spacing w:line="400" w:lineRule="exact"/>
              <w:ind w:firstLine="315" w:firstLineChars="150"/>
              <w:jc w:val="left"/>
              <w:rPr>
                <w:rFonts w:ascii="宋体"/>
                <w:szCs w:val="21"/>
              </w:rPr>
            </w:pPr>
          </w:p>
          <w:p>
            <w:pPr>
              <w:spacing w:line="400" w:lineRule="exact"/>
              <w:ind w:firstLine="315" w:firstLineChars="150"/>
              <w:jc w:val="left"/>
              <w:rPr>
                <w:rFonts w:ascii="宋体"/>
                <w:szCs w:val="21"/>
              </w:rPr>
            </w:pPr>
            <w:r>
              <w:rPr>
                <w:rFonts w:hint="eastAsia" w:ascii="宋体"/>
                <w:szCs w:val="21"/>
              </w:rPr>
              <w:t>企业对</w:t>
            </w:r>
            <w:r>
              <w:rPr>
                <w:rFonts w:hint="eastAsia" w:ascii="宋体"/>
                <w:szCs w:val="21"/>
                <w:lang w:val="en-US" w:eastAsia="zh-CN"/>
              </w:rPr>
              <w:t>关键</w:t>
            </w:r>
            <w:bookmarkStart w:id="0" w:name="_GoBack"/>
            <w:bookmarkEnd w:id="0"/>
            <w:r>
              <w:rPr>
                <w:rFonts w:hint="eastAsia" w:ascii="宋体"/>
                <w:szCs w:val="21"/>
              </w:rPr>
              <w:t>过程《</w:t>
            </w:r>
            <w:r>
              <w:rPr>
                <w:rFonts w:hint="eastAsia" w:ascii="宋体"/>
                <w:color w:val="000000"/>
                <w:szCs w:val="21"/>
              </w:rPr>
              <w:t>《闸板密封面硬度检测》</w:t>
            </w:r>
            <w:r>
              <w:rPr>
                <w:rFonts w:hint="eastAsia" w:ascii="宋体"/>
                <w:szCs w:val="21"/>
              </w:rPr>
              <w:t>进行了监视分析，并按规定频次进行监视。</w:t>
            </w:r>
          </w:p>
          <w:p>
            <w:pPr>
              <w:spacing w:line="400" w:lineRule="exact"/>
              <w:ind w:firstLine="315" w:firstLineChars="150"/>
              <w:jc w:val="left"/>
              <w:rPr>
                <w:rFonts w:ascii="宋体"/>
                <w:szCs w:val="21"/>
              </w:rPr>
            </w:pPr>
            <w:r>
              <w:rPr>
                <w:rFonts w:ascii="宋体"/>
                <w:szCs w:val="21"/>
              </w:rPr>
              <w:t>见</w:t>
            </w:r>
            <w:r>
              <w:rPr>
                <w:rFonts w:hint="eastAsia" w:ascii="宋体"/>
                <w:szCs w:val="21"/>
              </w:rPr>
              <w:t>：</w:t>
            </w:r>
            <w:r>
              <w:rPr>
                <w:rFonts w:hint="eastAsia" w:ascii="宋体"/>
                <w:color w:val="000000"/>
                <w:szCs w:val="21"/>
              </w:rPr>
              <w:t>《闸板密封面硬度检测》</w:t>
            </w:r>
            <w:r>
              <w:rPr>
                <w:rFonts w:hint="eastAsia" w:ascii="宋体"/>
                <w:szCs w:val="21"/>
              </w:rPr>
              <w:t>测量过程，监视统计记录和检测过程质控图。</w:t>
            </w:r>
          </w:p>
          <w:p>
            <w:pPr>
              <w:spacing w:line="400" w:lineRule="exact"/>
              <w:ind w:firstLine="315" w:firstLineChars="150"/>
              <w:jc w:val="left"/>
              <w:rPr>
                <w:rFonts w:ascii="宋体"/>
                <w:color w:val="000000"/>
                <w:szCs w:val="21"/>
              </w:rPr>
            </w:pPr>
          </w:p>
        </w:tc>
        <w:tc>
          <w:tcPr>
            <w:tcW w:w="992" w:type="dxa"/>
            <w:vAlign w:val="center"/>
          </w:tcPr>
          <w:p>
            <w:pPr>
              <w:rPr>
                <w:rFonts w:ascii="宋体" w:hAnsi="宋体"/>
                <w:szCs w:val="21"/>
              </w:rPr>
            </w:pPr>
            <w:r>
              <w:rPr>
                <w:rFonts w:hint="eastAsia" w:ascii="宋体" w:hAnsi="宋体"/>
                <w:szCs w:val="21"/>
              </w:rPr>
              <w:t>生产部（生产车间）</w:t>
            </w:r>
          </w:p>
          <w:p>
            <w:pPr>
              <w:rPr>
                <w:rFonts w:ascii="宋体" w:hAnsi="宋体"/>
                <w:szCs w:val="21"/>
              </w:rPr>
            </w:pPr>
            <w:r>
              <w:rPr>
                <w:rFonts w:hint="eastAsia" w:ascii="宋体" w:hAnsi="宋体"/>
                <w:szCs w:val="21"/>
              </w:rPr>
              <w:t>质检部</w:t>
            </w:r>
          </w:p>
        </w:tc>
        <w:tc>
          <w:tcPr>
            <w:tcW w:w="794" w:type="dxa"/>
            <w:vAlign w:val="center"/>
          </w:tcPr>
          <w:p>
            <w:pPr>
              <w:spacing w:line="320" w:lineRule="exact"/>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jc w:val="center"/>
              <w:rPr>
                <w:rFonts w:ascii="宋体" w:hAnsi="宋体"/>
                <w:szCs w:val="21"/>
              </w:rPr>
            </w:pPr>
            <w:r>
              <w:rPr>
                <w:rFonts w:hint="eastAsia" w:ascii="宋体" w:hAnsi="宋体"/>
                <w:szCs w:val="21"/>
              </w:rPr>
              <w:t>5</w:t>
            </w:r>
          </w:p>
        </w:tc>
        <w:tc>
          <w:tcPr>
            <w:tcW w:w="1925" w:type="dxa"/>
            <w:vAlign w:val="center"/>
          </w:tcPr>
          <w:p>
            <w:pPr>
              <w:spacing w:line="360" w:lineRule="exact"/>
              <w:ind w:firstLine="210" w:firstLineChars="100"/>
              <w:rPr>
                <w:rFonts w:ascii="宋体" w:hAnsi="宋体"/>
                <w:szCs w:val="21"/>
              </w:rPr>
            </w:pPr>
            <w:r>
              <w:rPr>
                <w:rFonts w:hint="eastAsia" w:ascii="宋体" w:hAnsi="宋体"/>
                <w:szCs w:val="21"/>
              </w:rPr>
              <w:t xml:space="preserve">企业能源主要品种？年消耗标煤？是否是重点用能单位？ </w:t>
            </w:r>
          </w:p>
        </w:tc>
        <w:tc>
          <w:tcPr>
            <w:tcW w:w="993" w:type="dxa"/>
            <w:vAlign w:val="center"/>
          </w:tcPr>
          <w:p>
            <w:pPr>
              <w:spacing w:line="360" w:lineRule="exact"/>
              <w:jc w:val="center"/>
              <w:rPr>
                <w:rFonts w:ascii="宋体" w:hAnsi="宋体"/>
                <w:szCs w:val="21"/>
              </w:rPr>
            </w:pPr>
            <w:r>
              <w:rPr>
                <w:rFonts w:hint="eastAsia" w:ascii="宋体" w:hAnsi="宋体"/>
                <w:szCs w:val="21"/>
              </w:rPr>
              <w:t>GB17167-2006</w:t>
            </w:r>
          </w:p>
        </w:tc>
        <w:tc>
          <w:tcPr>
            <w:tcW w:w="4961" w:type="dxa"/>
            <w:vAlign w:val="center"/>
          </w:tcPr>
          <w:p>
            <w:pPr>
              <w:spacing w:line="360" w:lineRule="exact"/>
              <w:ind w:firstLine="315" w:firstLineChars="150"/>
              <w:rPr>
                <w:rFonts w:ascii="等线" w:hAnsi="等线" w:eastAsia="等线"/>
                <w:color w:val="000000"/>
                <w:kern w:val="0"/>
                <w:sz w:val="22"/>
                <w:szCs w:val="22"/>
              </w:rPr>
            </w:pPr>
            <w:r>
              <w:rPr>
                <w:rFonts w:hint="eastAsia" w:ascii="宋体" w:hAnsi="宋体"/>
                <w:szCs w:val="21"/>
              </w:rPr>
              <w:t>企业主要耗能为电和柴油；查看企业《上海凯科阀门制造有限公司2019年用电量汇总表》、和《上海凯科阀门制造有限公司2019年燃料用量汇总表》，2019年1月份-2019年12月份报表，2019年耗能</w:t>
            </w:r>
            <w:r>
              <w:rPr>
                <w:rFonts w:hint="eastAsia" w:ascii="等线" w:hAnsi="等线" w:eastAsia="等线"/>
                <w:color w:val="000000"/>
                <w:kern w:val="0"/>
                <w:sz w:val="22"/>
                <w:szCs w:val="22"/>
              </w:rPr>
              <w:t>163.16</w:t>
            </w:r>
            <w:r>
              <w:rPr>
                <w:rFonts w:hint="eastAsia" w:ascii="宋体" w:hAnsi="宋体"/>
                <w:szCs w:val="21"/>
              </w:rPr>
              <w:t>吨标煤，不是重点用能单位。</w:t>
            </w:r>
          </w:p>
        </w:tc>
        <w:tc>
          <w:tcPr>
            <w:tcW w:w="992" w:type="dxa"/>
            <w:vAlign w:val="center"/>
          </w:tcPr>
          <w:p>
            <w:pPr>
              <w:rPr>
                <w:rFonts w:ascii="宋体" w:hAnsi="宋体"/>
                <w:szCs w:val="21"/>
              </w:rPr>
            </w:pPr>
            <w:r>
              <w:rPr>
                <w:rFonts w:hint="eastAsia" w:ascii="宋体" w:hAnsi="宋体"/>
                <w:szCs w:val="21"/>
              </w:rPr>
              <w:t>生产部</w:t>
            </w:r>
          </w:p>
          <w:p>
            <w:pPr>
              <w:spacing w:line="360" w:lineRule="exact"/>
              <w:jc w:val="center"/>
              <w:rPr>
                <w:rFonts w:ascii="宋体" w:hAnsi="宋体"/>
                <w:color w:val="FF0000"/>
                <w:szCs w:val="21"/>
              </w:rPr>
            </w:pPr>
          </w:p>
        </w:tc>
        <w:tc>
          <w:tcPr>
            <w:tcW w:w="794" w:type="dxa"/>
            <w:vAlign w:val="center"/>
          </w:tcPr>
          <w:p>
            <w:pPr>
              <w:spacing w:line="360" w:lineRule="exact"/>
              <w:jc w:val="center"/>
              <w:rPr>
                <w:rFonts w:ascii="宋体" w:hAnsi="宋体"/>
                <w:szCs w:val="21"/>
              </w:rPr>
            </w:pPr>
            <w:r>
              <w:rPr>
                <w:rFonts w:hint="eastAsia" w:ascii="宋体" w:hAnsi="宋体"/>
                <w:szCs w:val="21"/>
              </w:rPr>
              <w:t>否</w:t>
            </w:r>
          </w:p>
        </w:tc>
      </w:tr>
    </w:tbl>
    <w:p>
      <w:pPr>
        <w:tabs>
          <w:tab w:val="left" w:pos="4176"/>
        </w:tabs>
        <w:rPr>
          <w:rFonts w:ascii="宋体"/>
          <w:sz w:val="24"/>
        </w:rPr>
      </w:pPr>
    </w:p>
    <w:p>
      <w:pPr>
        <w:tabs>
          <w:tab w:val="left" w:pos="4176"/>
        </w:tabs>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ind w:left="-1023" w:leftChars="-487" w:firstLine="1793" w:firstLineChars="854"/>
      <w:jc w:val="left"/>
      <w:rPr>
        <w:rStyle w:val="16"/>
        <w:rFonts w:hint="default" w:ascii="Times New Roman" w:hAnsi="Times New Roman"/>
        <w:szCs w:val="21"/>
      </w:rPr>
    </w:pPr>
    <w:r>
      <w:rPr>
        <w:rStyle w:val="16"/>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w:pict>
        <v:shape id="文本框 1" o:spid="_x0000_s2050" o:spt="202" type="#_x0000_t202" style="position:absolute;left:0pt;margin-left:300pt;margin-top:-0.4pt;height:20.6pt;width:204.1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v:path/>
          <v:fill focussize="0,0"/>
          <v:stroke on="f" joinstyle="miter"/>
          <v:imagedata o:title=""/>
          <o:lock v:ext="edit"/>
          <v:textbox>
            <w:txbxContent>
              <w:p>
                <w:pPr>
                  <w:rPr>
                    <w:sz w:val="18"/>
                    <w:szCs w:val="18"/>
                  </w:rPr>
                </w:pPr>
                <w:r>
                  <w:rPr>
                    <w:szCs w:val="21"/>
                  </w:rPr>
                  <w:t>ISC-A-I</w:t>
                </w:r>
                <w:r>
                  <w:rPr>
                    <w:rFonts w:hint="eastAsia"/>
                    <w:szCs w:val="21"/>
                  </w:rPr>
                  <w:t>I</w:t>
                </w:r>
                <w:r>
                  <w:rPr>
                    <w:szCs w:val="21"/>
                  </w:rPr>
                  <w:t>-</w:t>
                </w:r>
                <w:r>
                  <w:rPr>
                    <w:rFonts w:hint="eastAsia"/>
                    <w:szCs w:val="21"/>
                  </w:rPr>
                  <w:t>10审核员现场审核记录（06版）</w:t>
                </w:r>
              </w:p>
            </w:txbxContent>
          </v:textbox>
        </v:shape>
      </w:pict>
    </w:r>
    <w:r>
      <w:rPr>
        <w:rStyle w:val="16"/>
        <w:rFonts w:hint="default" w:ascii="Times New Roman" w:hAnsi="Times New Roman"/>
        <w:w w:val="80"/>
        <w:szCs w:val="21"/>
      </w:rPr>
      <w:t>Beijing International Standard united Certification Co.,Ltd.</w:t>
    </w:r>
  </w:p>
  <w:p>
    <w:pPr>
      <w:rPr>
        <w:szCs w:val="21"/>
      </w:rPr>
    </w:pPr>
    <w:r>
      <w:rPr>
        <w:szCs w:val="21"/>
      </w:rPr>
      <w:pict>
        <v:line id="直线 5" o:spid="_x0000_s2049" o:spt="20" style="position:absolute;left:0pt;flip:y;margin-left:-0.45pt;margin-top:2.3pt;height:0.7pt;width:497.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v:path arrowok="t"/>
          <v:fill focussize="0,0"/>
          <v:stroke/>
          <v:imagedata o:title=""/>
          <o:lock v:ext="edit"/>
        </v:lin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0"/>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669BF"/>
    <w:rsid w:val="00015BCA"/>
    <w:rsid w:val="00021238"/>
    <w:rsid w:val="00026C3A"/>
    <w:rsid w:val="00032BB0"/>
    <w:rsid w:val="000339BF"/>
    <w:rsid w:val="00037044"/>
    <w:rsid w:val="00044789"/>
    <w:rsid w:val="0004479C"/>
    <w:rsid w:val="00046AD7"/>
    <w:rsid w:val="00060653"/>
    <w:rsid w:val="00062EA2"/>
    <w:rsid w:val="00091AF9"/>
    <w:rsid w:val="00092564"/>
    <w:rsid w:val="00096274"/>
    <w:rsid w:val="000A03EA"/>
    <w:rsid w:val="000B78D9"/>
    <w:rsid w:val="000D3711"/>
    <w:rsid w:val="000D430B"/>
    <w:rsid w:val="000E03B7"/>
    <w:rsid w:val="000F0ADF"/>
    <w:rsid w:val="000F5482"/>
    <w:rsid w:val="000F6EB2"/>
    <w:rsid w:val="000F71CB"/>
    <w:rsid w:val="00101CD6"/>
    <w:rsid w:val="00126CA6"/>
    <w:rsid w:val="0012745B"/>
    <w:rsid w:val="00140FD5"/>
    <w:rsid w:val="00141863"/>
    <w:rsid w:val="00143C5D"/>
    <w:rsid w:val="00145985"/>
    <w:rsid w:val="00146A92"/>
    <w:rsid w:val="00180F87"/>
    <w:rsid w:val="00183E8F"/>
    <w:rsid w:val="00193B2D"/>
    <w:rsid w:val="001A6A80"/>
    <w:rsid w:val="001B4B3B"/>
    <w:rsid w:val="001C1C5F"/>
    <w:rsid w:val="001C3BE0"/>
    <w:rsid w:val="001C44C0"/>
    <w:rsid w:val="001D36CD"/>
    <w:rsid w:val="001D6BC4"/>
    <w:rsid w:val="001E2B18"/>
    <w:rsid w:val="001E39A3"/>
    <w:rsid w:val="001F62A4"/>
    <w:rsid w:val="001F7719"/>
    <w:rsid w:val="0020139E"/>
    <w:rsid w:val="002205DC"/>
    <w:rsid w:val="00221D80"/>
    <w:rsid w:val="00223355"/>
    <w:rsid w:val="00237AD3"/>
    <w:rsid w:val="00242043"/>
    <w:rsid w:val="002474F2"/>
    <w:rsid w:val="00261EA3"/>
    <w:rsid w:val="002620E2"/>
    <w:rsid w:val="002669F0"/>
    <w:rsid w:val="00266A46"/>
    <w:rsid w:val="00273D8D"/>
    <w:rsid w:val="00274873"/>
    <w:rsid w:val="002B3A5C"/>
    <w:rsid w:val="002B5F7D"/>
    <w:rsid w:val="002B79F9"/>
    <w:rsid w:val="002C2E85"/>
    <w:rsid w:val="003024B6"/>
    <w:rsid w:val="003050AA"/>
    <w:rsid w:val="003109A5"/>
    <w:rsid w:val="003131CE"/>
    <w:rsid w:val="003160D8"/>
    <w:rsid w:val="00321F76"/>
    <w:rsid w:val="00344CFB"/>
    <w:rsid w:val="00353238"/>
    <w:rsid w:val="00360AA6"/>
    <w:rsid w:val="00361339"/>
    <w:rsid w:val="00366642"/>
    <w:rsid w:val="003761E8"/>
    <w:rsid w:val="0039603A"/>
    <w:rsid w:val="003A1892"/>
    <w:rsid w:val="003A304C"/>
    <w:rsid w:val="003B55AA"/>
    <w:rsid w:val="003C2E87"/>
    <w:rsid w:val="003C5671"/>
    <w:rsid w:val="003C6E3D"/>
    <w:rsid w:val="003E22D3"/>
    <w:rsid w:val="003E39C6"/>
    <w:rsid w:val="003E5D0C"/>
    <w:rsid w:val="003E7F40"/>
    <w:rsid w:val="003F14FB"/>
    <w:rsid w:val="003F7E42"/>
    <w:rsid w:val="0040564D"/>
    <w:rsid w:val="004060CD"/>
    <w:rsid w:val="00407D70"/>
    <w:rsid w:val="004111C2"/>
    <w:rsid w:val="00427C34"/>
    <w:rsid w:val="004363A5"/>
    <w:rsid w:val="0043734F"/>
    <w:rsid w:val="00441410"/>
    <w:rsid w:val="00450DE8"/>
    <w:rsid w:val="00451D6E"/>
    <w:rsid w:val="00451F5C"/>
    <w:rsid w:val="004708EC"/>
    <w:rsid w:val="00475BA3"/>
    <w:rsid w:val="00476DFF"/>
    <w:rsid w:val="00495DA0"/>
    <w:rsid w:val="0049780D"/>
    <w:rsid w:val="004A2787"/>
    <w:rsid w:val="004A7BD3"/>
    <w:rsid w:val="004B5907"/>
    <w:rsid w:val="004C2277"/>
    <w:rsid w:val="004C7C52"/>
    <w:rsid w:val="004D403E"/>
    <w:rsid w:val="004D622A"/>
    <w:rsid w:val="004E5091"/>
    <w:rsid w:val="005009ED"/>
    <w:rsid w:val="00506704"/>
    <w:rsid w:val="005249F6"/>
    <w:rsid w:val="00540A7A"/>
    <w:rsid w:val="00545A1F"/>
    <w:rsid w:val="00552D17"/>
    <w:rsid w:val="005609C1"/>
    <w:rsid w:val="005671C2"/>
    <w:rsid w:val="00571669"/>
    <w:rsid w:val="00575FEC"/>
    <w:rsid w:val="00583752"/>
    <w:rsid w:val="005A48E7"/>
    <w:rsid w:val="005B6FEA"/>
    <w:rsid w:val="005B79C0"/>
    <w:rsid w:val="005D2D77"/>
    <w:rsid w:val="005D4256"/>
    <w:rsid w:val="005D77B5"/>
    <w:rsid w:val="005E6866"/>
    <w:rsid w:val="0060007A"/>
    <w:rsid w:val="00606D7B"/>
    <w:rsid w:val="00622175"/>
    <w:rsid w:val="00622E44"/>
    <w:rsid w:val="0062550E"/>
    <w:rsid w:val="00631C2B"/>
    <w:rsid w:val="006431EF"/>
    <w:rsid w:val="006652F9"/>
    <w:rsid w:val="006669BF"/>
    <w:rsid w:val="0067146A"/>
    <w:rsid w:val="006728EC"/>
    <w:rsid w:val="00675B7E"/>
    <w:rsid w:val="0067610E"/>
    <w:rsid w:val="0068022D"/>
    <w:rsid w:val="006877D6"/>
    <w:rsid w:val="006915EE"/>
    <w:rsid w:val="006962DD"/>
    <w:rsid w:val="00696899"/>
    <w:rsid w:val="00696B46"/>
    <w:rsid w:val="00696FA3"/>
    <w:rsid w:val="006A69EC"/>
    <w:rsid w:val="006B4901"/>
    <w:rsid w:val="006C3658"/>
    <w:rsid w:val="006D51FE"/>
    <w:rsid w:val="006E597D"/>
    <w:rsid w:val="006F2BAC"/>
    <w:rsid w:val="006F6599"/>
    <w:rsid w:val="00700621"/>
    <w:rsid w:val="0070231D"/>
    <w:rsid w:val="0070328E"/>
    <w:rsid w:val="00714672"/>
    <w:rsid w:val="00746E5A"/>
    <w:rsid w:val="0075085A"/>
    <w:rsid w:val="00754CDC"/>
    <w:rsid w:val="00794C85"/>
    <w:rsid w:val="00795A4D"/>
    <w:rsid w:val="007963DD"/>
    <w:rsid w:val="007A40B0"/>
    <w:rsid w:val="007B163D"/>
    <w:rsid w:val="007B4A72"/>
    <w:rsid w:val="007B4D3F"/>
    <w:rsid w:val="007C1554"/>
    <w:rsid w:val="007C1EDC"/>
    <w:rsid w:val="007C6817"/>
    <w:rsid w:val="007D3218"/>
    <w:rsid w:val="007D3C00"/>
    <w:rsid w:val="007E3918"/>
    <w:rsid w:val="007E4A11"/>
    <w:rsid w:val="007F4344"/>
    <w:rsid w:val="007F6F3E"/>
    <w:rsid w:val="008106A1"/>
    <w:rsid w:val="00811FDF"/>
    <w:rsid w:val="00822E33"/>
    <w:rsid w:val="008252FD"/>
    <w:rsid w:val="00835B8E"/>
    <w:rsid w:val="0084794F"/>
    <w:rsid w:val="00876D90"/>
    <w:rsid w:val="00883103"/>
    <w:rsid w:val="008873A8"/>
    <w:rsid w:val="008916F1"/>
    <w:rsid w:val="008919AF"/>
    <w:rsid w:val="008A2E9B"/>
    <w:rsid w:val="008A6E0E"/>
    <w:rsid w:val="008B7618"/>
    <w:rsid w:val="008D136E"/>
    <w:rsid w:val="008D2C61"/>
    <w:rsid w:val="008D3FBC"/>
    <w:rsid w:val="008D73FF"/>
    <w:rsid w:val="008E1413"/>
    <w:rsid w:val="008E14C5"/>
    <w:rsid w:val="008E3137"/>
    <w:rsid w:val="008F0FA6"/>
    <w:rsid w:val="008F102E"/>
    <w:rsid w:val="00900FF7"/>
    <w:rsid w:val="0090374A"/>
    <w:rsid w:val="00906765"/>
    <w:rsid w:val="00906B4B"/>
    <w:rsid w:val="00925B52"/>
    <w:rsid w:val="009266D0"/>
    <w:rsid w:val="00932DF4"/>
    <w:rsid w:val="0095020B"/>
    <w:rsid w:val="00983481"/>
    <w:rsid w:val="009A4193"/>
    <w:rsid w:val="009A6B12"/>
    <w:rsid w:val="009C4690"/>
    <w:rsid w:val="009D4353"/>
    <w:rsid w:val="009E3A16"/>
    <w:rsid w:val="009E76AD"/>
    <w:rsid w:val="00A02B2C"/>
    <w:rsid w:val="00A12F0F"/>
    <w:rsid w:val="00A17670"/>
    <w:rsid w:val="00A22AA2"/>
    <w:rsid w:val="00A23540"/>
    <w:rsid w:val="00A257B9"/>
    <w:rsid w:val="00A419B2"/>
    <w:rsid w:val="00A50236"/>
    <w:rsid w:val="00A54777"/>
    <w:rsid w:val="00A77618"/>
    <w:rsid w:val="00A8118F"/>
    <w:rsid w:val="00A82CED"/>
    <w:rsid w:val="00A93CF1"/>
    <w:rsid w:val="00AB029D"/>
    <w:rsid w:val="00AB68B4"/>
    <w:rsid w:val="00AC4213"/>
    <w:rsid w:val="00AD1F97"/>
    <w:rsid w:val="00AD7795"/>
    <w:rsid w:val="00AE0827"/>
    <w:rsid w:val="00AF1BB8"/>
    <w:rsid w:val="00AF658E"/>
    <w:rsid w:val="00AF7AB1"/>
    <w:rsid w:val="00B11A08"/>
    <w:rsid w:val="00B31D29"/>
    <w:rsid w:val="00B323C4"/>
    <w:rsid w:val="00B340AA"/>
    <w:rsid w:val="00B37E95"/>
    <w:rsid w:val="00B4042F"/>
    <w:rsid w:val="00B43201"/>
    <w:rsid w:val="00B45C1B"/>
    <w:rsid w:val="00B53E2F"/>
    <w:rsid w:val="00B77AC9"/>
    <w:rsid w:val="00B91A5C"/>
    <w:rsid w:val="00B9465F"/>
    <w:rsid w:val="00BC727C"/>
    <w:rsid w:val="00BD0F76"/>
    <w:rsid w:val="00BE008A"/>
    <w:rsid w:val="00BF0672"/>
    <w:rsid w:val="00BF3B70"/>
    <w:rsid w:val="00BF527E"/>
    <w:rsid w:val="00C01BDE"/>
    <w:rsid w:val="00C3501F"/>
    <w:rsid w:val="00C37C13"/>
    <w:rsid w:val="00C4002B"/>
    <w:rsid w:val="00C42D20"/>
    <w:rsid w:val="00C64B02"/>
    <w:rsid w:val="00C74760"/>
    <w:rsid w:val="00C748F2"/>
    <w:rsid w:val="00C961B4"/>
    <w:rsid w:val="00C9766F"/>
    <w:rsid w:val="00C976E0"/>
    <w:rsid w:val="00CA6727"/>
    <w:rsid w:val="00CA7FB0"/>
    <w:rsid w:val="00CC032B"/>
    <w:rsid w:val="00CC33EF"/>
    <w:rsid w:val="00CE1369"/>
    <w:rsid w:val="00CE307B"/>
    <w:rsid w:val="00D06609"/>
    <w:rsid w:val="00D11B13"/>
    <w:rsid w:val="00D12D25"/>
    <w:rsid w:val="00D1697E"/>
    <w:rsid w:val="00D31FE3"/>
    <w:rsid w:val="00D405E1"/>
    <w:rsid w:val="00D440AF"/>
    <w:rsid w:val="00D45340"/>
    <w:rsid w:val="00D53372"/>
    <w:rsid w:val="00D53C75"/>
    <w:rsid w:val="00D559EA"/>
    <w:rsid w:val="00D667B1"/>
    <w:rsid w:val="00D72314"/>
    <w:rsid w:val="00D739F0"/>
    <w:rsid w:val="00D81A3E"/>
    <w:rsid w:val="00DA4562"/>
    <w:rsid w:val="00DB2DDB"/>
    <w:rsid w:val="00DB3AE7"/>
    <w:rsid w:val="00DD3850"/>
    <w:rsid w:val="00DE28F6"/>
    <w:rsid w:val="00DE3298"/>
    <w:rsid w:val="00DE356D"/>
    <w:rsid w:val="00DF513E"/>
    <w:rsid w:val="00E01D4A"/>
    <w:rsid w:val="00E20737"/>
    <w:rsid w:val="00E20EE7"/>
    <w:rsid w:val="00E24902"/>
    <w:rsid w:val="00E344A4"/>
    <w:rsid w:val="00E44C1D"/>
    <w:rsid w:val="00E45E66"/>
    <w:rsid w:val="00E506AB"/>
    <w:rsid w:val="00E52053"/>
    <w:rsid w:val="00E525B9"/>
    <w:rsid w:val="00E83217"/>
    <w:rsid w:val="00E95CA0"/>
    <w:rsid w:val="00EA05CF"/>
    <w:rsid w:val="00EC236D"/>
    <w:rsid w:val="00EC4A49"/>
    <w:rsid w:val="00EC4DB3"/>
    <w:rsid w:val="00ED26FD"/>
    <w:rsid w:val="00ED624D"/>
    <w:rsid w:val="00EE232F"/>
    <w:rsid w:val="00F14258"/>
    <w:rsid w:val="00F172D6"/>
    <w:rsid w:val="00F23F18"/>
    <w:rsid w:val="00F24E2F"/>
    <w:rsid w:val="00F2618C"/>
    <w:rsid w:val="00F35DA2"/>
    <w:rsid w:val="00F4336F"/>
    <w:rsid w:val="00F47487"/>
    <w:rsid w:val="00F52E82"/>
    <w:rsid w:val="00F57229"/>
    <w:rsid w:val="00F65882"/>
    <w:rsid w:val="00F73A91"/>
    <w:rsid w:val="00F86438"/>
    <w:rsid w:val="00FA3AA6"/>
    <w:rsid w:val="00FB0AF9"/>
    <w:rsid w:val="00FB7297"/>
    <w:rsid w:val="00FB7F2D"/>
    <w:rsid w:val="00FC1647"/>
    <w:rsid w:val="00FC66A3"/>
    <w:rsid w:val="00FD6D12"/>
    <w:rsid w:val="00FD71C5"/>
    <w:rsid w:val="00FF23CC"/>
    <w:rsid w:val="00FF5104"/>
    <w:rsid w:val="04123E3D"/>
    <w:rsid w:val="0A224E01"/>
    <w:rsid w:val="0D706302"/>
    <w:rsid w:val="128849F2"/>
    <w:rsid w:val="197F0D77"/>
    <w:rsid w:val="19CD63C6"/>
    <w:rsid w:val="1D5E23B0"/>
    <w:rsid w:val="30C17D09"/>
    <w:rsid w:val="33494F39"/>
    <w:rsid w:val="33E71B9E"/>
    <w:rsid w:val="373D6F5A"/>
    <w:rsid w:val="3D29480A"/>
    <w:rsid w:val="3E8F46D4"/>
    <w:rsid w:val="3F1F57B2"/>
    <w:rsid w:val="445E118E"/>
    <w:rsid w:val="51E90A3D"/>
    <w:rsid w:val="52846C9B"/>
    <w:rsid w:val="540D3F2A"/>
    <w:rsid w:val="5BAE59CA"/>
    <w:rsid w:val="5DE40F0B"/>
    <w:rsid w:val="64A54D6A"/>
    <w:rsid w:val="65A53CC7"/>
    <w:rsid w:val="75AE276B"/>
    <w:rsid w:val="77E0256E"/>
    <w:rsid w:val="77E60955"/>
    <w:rsid w:val="79CC25E4"/>
    <w:rsid w:val="7A982785"/>
    <w:rsid w:val="7D34031E"/>
    <w:rsid w:val="7E933016"/>
    <w:rsid w:val="7EA42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color w:val="0000FF"/>
      <w:u w:val="single"/>
    </w:rPr>
  </w:style>
  <w:style w:type="paragraph" w:customStyle="1" w:styleId="10">
    <w:name w:val="Char"/>
    <w:basedOn w:val="1"/>
    <w:uiPriority w:val="0"/>
    <w:pPr>
      <w:numPr>
        <w:ilvl w:val="0"/>
        <w:numId w:val="1"/>
      </w:numPr>
    </w:pPr>
    <w:rPr>
      <w:sz w:val="24"/>
    </w:rPr>
  </w:style>
  <w:style w:type="paragraph" w:customStyle="1" w:styleId="11">
    <w:name w:val="Char1"/>
    <w:basedOn w:val="1"/>
    <w:qFormat/>
    <w:uiPriority w:val="0"/>
    <w:pPr>
      <w:numPr>
        <w:ilvl w:val="0"/>
        <w:numId w:val="2"/>
      </w:numPr>
    </w:pPr>
  </w:style>
  <w:style w:type="character" w:customStyle="1" w:styleId="12">
    <w:name w:val="页脚 Char"/>
    <w:link w:val="4"/>
    <w:uiPriority w:val="99"/>
    <w:rPr>
      <w:kern w:val="2"/>
      <w:sz w:val="18"/>
    </w:rPr>
  </w:style>
  <w:style w:type="character" w:customStyle="1" w:styleId="13">
    <w:name w:val="Char Char"/>
    <w:uiPriority w:val="0"/>
    <w:rPr>
      <w:rFonts w:eastAsia="宋体"/>
      <w:kern w:val="2"/>
      <w:sz w:val="18"/>
      <w:lang w:val="en-US" w:eastAsia="zh-CN"/>
    </w:rPr>
  </w:style>
  <w:style w:type="character" w:customStyle="1" w:styleId="14">
    <w:name w:val="Font Style99"/>
    <w:qFormat/>
    <w:uiPriority w:val="0"/>
    <w:rPr>
      <w:rFonts w:ascii="黑体" w:eastAsia="黑体" w:cs="黑体"/>
      <w:sz w:val="20"/>
      <w:szCs w:val="20"/>
    </w:rPr>
  </w:style>
  <w:style w:type="character" w:customStyle="1" w:styleId="15">
    <w:name w:val="页眉 Char"/>
    <w:link w:val="5"/>
    <w:uiPriority w:val="99"/>
    <w:rPr>
      <w:kern w:val="2"/>
      <w:sz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239</Words>
  <Characters>1364</Characters>
  <Lines>11</Lines>
  <Paragraphs>3</Paragraphs>
  <TotalTime>153</TotalTime>
  <ScaleCrop>false</ScaleCrop>
  <LinksUpToDate>false</LinksUpToDate>
  <CharactersWithSpaces>1600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2020-10-22T12:43:00Z</dcterms:created>
  <dc:creator>ctcjw</dc:creator>
  <cp:lastModifiedBy>win8</cp:lastModifiedBy>
  <cp:lastPrinted>2020-08-29T07:41:00Z</cp:lastPrinted>
  <dcterms:modified xsi:type="dcterms:W3CDTF">2020-11-09T06:51:45Z</dcterms:modified>
  <dc:title>审 核 计 划(二阶段/监督/再认证/其他)</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