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Cs w:val="21"/>
        </w:rPr>
      </w:pPr>
      <w:r>
        <w:rPr>
          <w:rFonts w:hint="eastAsia" w:ascii="隶书" w:hAnsi="宋体" w:eastAsia="隶书"/>
          <w:bCs/>
          <w:color w:val="000000"/>
          <w:sz w:val="36"/>
          <w:szCs w:val="36"/>
        </w:rPr>
        <w:t>管理体系审核记录表</w:t>
      </w:r>
    </w:p>
    <w:tbl>
      <w:tblPr>
        <w:tblStyle w:val="11"/>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szCs w:val="21"/>
              </w:rPr>
            </w:pPr>
            <w:r>
              <w:rPr>
                <w:szCs w:val="21"/>
              </w:rPr>
              <w:t>过程与活动、</w:t>
            </w:r>
          </w:p>
          <w:p>
            <w:pPr>
              <w:jc w:val="center"/>
              <w:rPr>
                <w:szCs w:val="21"/>
              </w:rPr>
            </w:pPr>
            <w:r>
              <w:rPr>
                <w:szCs w:val="21"/>
              </w:rPr>
              <w:t>抽样计划</w:t>
            </w:r>
          </w:p>
        </w:tc>
        <w:tc>
          <w:tcPr>
            <w:tcW w:w="869" w:type="dxa"/>
            <w:vMerge w:val="restart"/>
            <w:vAlign w:val="center"/>
          </w:tcPr>
          <w:p>
            <w:pPr>
              <w:rPr>
                <w:szCs w:val="21"/>
              </w:rPr>
            </w:pPr>
            <w:r>
              <w:rPr>
                <w:szCs w:val="21"/>
              </w:rPr>
              <w:t>涉及</w:t>
            </w:r>
          </w:p>
          <w:p>
            <w:pPr>
              <w:rPr>
                <w:szCs w:val="21"/>
              </w:rPr>
            </w:pPr>
            <w:r>
              <w:rPr>
                <w:szCs w:val="21"/>
              </w:rPr>
              <w:t>条款</w:t>
            </w:r>
          </w:p>
        </w:tc>
        <w:tc>
          <w:tcPr>
            <w:tcW w:w="11490" w:type="dxa"/>
            <w:vAlign w:val="center"/>
          </w:tcPr>
          <w:p>
            <w:pPr>
              <w:rPr>
                <w:rFonts w:hint="eastAsia" w:eastAsia="宋体"/>
                <w:szCs w:val="21"/>
                <w:lang w:val="en-US" w:eastAsia="zh-CN"/>
              </w:rPr>
            </w:pPr>
            <w:r>
              <w:rPr>
                <w:szCs w:val="21"/>
              </w:rPr>
              <w:t>受审核部门：</w:t>
            </w:r>
            <w:r>
              <w:rPr>
                <w:rFonts w:hint="eastAsia"/>
                <w:szCs w:val="21"/>
              </w:rPr>
              <w:t>管理层</w:t>
            </w:r>
            <w:r>
              <w:rPr>
                <w:szCs w:val="21"/>
              </w:rPr>
              <w:t xml:space="preserve">          主管领导：</w:t>
            </w:r>
            <w:r>
              <w:rPr>
                <w:rFonts w:hint="eastAsia"/>
                <w:szCs w:val="21"/>
                <w:lang w:val="en-US" w:eastAsia="zh-CN"/>
              </w:rPr>
              <w:t>孙如明</w:t>
            </w:r>
          </w:p>
        </w:tc>
        <w:tc>
          <w:tcPr>
            <w:tcW w:w="709" w:type="dxa"/>
            <w:vMerge w:val="restart"/>
            <w:vAlign w:val="center"/>
          </w:tcPr>
          <w:p>
            <w:pPr>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spacing w:before="120"/>
              <w:rPr>
                <w:szCs w:val="21"/>
              </w:rPr>
            </w:pPr>
            <w:r>
              <w:rPr>
                <w:szCs w:val="21"/>
              </w:rPr>
              <w:t>审核员：</w:t>
            </w:r>
            <w:r>
              <w:rPr>
                <w:rFonts w:hint="eastAsia"/>
                <w:szCs w:val="21"/>
              </w:rPr>
              <w:t>李蒙生</w:t>
            </w:r>
            <w:r>
              <w:rPr>
                <w:szCs w:val="21"/>
              </w:rPr>
              <w:t xml:space="preserve">                审核时间：2020</w:t>
            </w:r>
            <w:r>
              <w:rPr>
                <w:rFonts w:hint="eastAsia"/>
                <w:szCs w:val="21"/>
              </w:rPr>
              <w:t>.11.12</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szCs w:val="21"/>
              </w:rPr>
            </w:pPr>
          </w:p>
        </w:tc>
        <w:tc>
          <w:tcPr>
            <w:tcW w:w="869" w:type="dxa"/>
            <w:vMerge w:val="continue"/>
            <w:vAlign w:val="center"/>
          </w:tcPr>
          <w:p>
            <w:pPr>
              <w:rPr>
                <w:szCs w:val="21"/>
              </w:rPr>
            </w:pPr>
          </w:p>
        </w:tc>
        <w:tc>
          <w:tcPr>
            <w:tcW w:w="11490" w:type="dxa"/>
            <w:vAlign w:val="center"/>
          </w:tcPr>
          <w:p>
            <w:pPr>
              <w:rPr>
                <w:szCs w:val="21"/>
              </w:rPr>
            </w:pPr>
            <w:r>
              <w:rPr>
                <w:szCs w:val="21"/>
              </w:rPr>
              <w:t>审核条款：</w:t>
            </w:r>
            <w:r>
              <w:rPr>
                <w:rFonts w:hint="eastAsia"/>
                <w:sz w:val="21"/>
                <w:szCs w:val="21"/>
                <w:lang w:val="en-US" w:eastAsia="zh-CN"/>
              </w:rPr>
              <w:t>QO</w:t>
            </w:r>
            <w:r>
              <w:rPr>
                <w:rFonts w:hint="eastAsia"/>
                <w:sz w:val="21"/>
                <w:szCs w:val="21"/>
              </w:rPr>
              <w:t>4.1/4.2/4.3/4.4/</w:t>
            </w:r>
            <w:r>
              <w:rPr>
                <w:rFonts w:hint="default" w:ascii="Times New Roman" w:hAnsi="Times New Roman" w:eastAsia="宋体" w:cs="Times New Roman"/>
                <w:b w:val="0"/>
                <w:bCs/>
                <w:sz w:val="21"/>
                <w:szCs w:val="21"/>
              </w:rPr>
              <w:t>5.1/5.2/5.3/6.1/6.2/7.1/9.1.1/9.3/10.1/10.3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szCs w:val="21"/>
              </w:rPr>
            </w:pPr>
            <w:r>
              <w:rPr>
                <w:rFonts w:hint="eastAsia"/>
                <w:szCs w:val="21"/>
              </w:rPr>
              <w:t>组织及其环境</w:t>
            </w:r>
          </w:p>
        </w:tc>
        <w:tc>
          <w:tcPr>
            <w:tcW w:w="869" w:type="dxa"/>
          </w:tcPr>
          <w:p>
            <w:pPr>
              <w:spacing w:line="360" w:lineRule="auto"/>
              <w:rPr>
                <w:szCs w:val="22"/>
              </w:rPr>
            </w:pPr>
            <w:r>
              <w:rPr>
                <w:rFonts w:hint="eastAsia"/>
                <w:szCs w:val="22"/>
              </w:rPr>
              <w:t>Q4.1</w:t>
            </w:r>
          </w:p>
          <w:p>
            <w:pPr>
              <w:spacing w:line="360" w:lineRule="auto"/>
              <w:rPr>
                <w:szCs w:val="22"/>
              </w:rPr>
            </w:pPr>
            <w:r>
              <w:rPr>
                <w:rFonts w:hint="eastAsia"/>
                <w:szCs w:val="22"/>
              </w:rPr>
              <w:t>O4.1</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szCs w:val="22"/>
              </w:rPr>
            </w:pPr>
            <w:r>
              <w:rPr>
                <w:rFonts w:hint="eastAsia"/>
                <w:szCs w:val="22"/>
              </w:rPr>
              <w:t>嘉兴</w:t>
            </w:r>
            <w:r>
              <w:rPr>
                <w:szCs w:val="22"/>
              </w:rPr>
              <w:t>正通塑业科技有限公司成立于20</w:t>
            </w:r>
            <w:r>
              <w:rPr>
                <w:rFonts w:hint="eastAsia"/>
                <w:szCs w:val="22"/>
              </w:rPr>
              <w:t>20</w:t>
            </w:r>
            <w:r>
              <w:rPr>
                <w:szCs w:val="22"/>
              </w:rPr>
              <w:t>年</w:t>
            </w:r>
            <w:r>
              <w:rPr>
                <w:rFonts w:hint="eastAsia"/>
                <w:szCs w:val="22"/>
              </w:rPr>
              <w:t>7</w:t>
            </w:r>
            <w:r>
              <w:rPr>
                <w:szCs w:val="22"/>
              </w:rPr>
              <w:t>月1</w:t>
            </w:r>
            <w:r>
              <w:rPr>
                <w:rFonts w:hint="eastAsia"/>
                <w:szCs w:val="22"/>
              </w:rPr>
              <w:t>5</w:t>
            </w:r>
            <w:r>
              <w:rPr>
                <w:szCs w:val="22"/>
              </w:rPr>
              <w:t>日，注册地位于浙江省嘉兴市嘉善县天凝镇东麟湖路7号</w:t>
            </w:r>
            <w:r>
              <w:rPr>
                <w:rFonts w:hint="eastAsia"/>
                <w:szCs w:val="22"/>
              </w:rPr>
              <w:t>2、3幢</w:t>
            </w:r>
            <w:r>
              <w:rPr>
                <w:szCs w:val="22"/>
              </w:rPr>
              <w:t>，注册资金伍仟伍佰万元</w:t>
            </w:r>
            <w:r>
              <w:rPr>
                <w:rFonts w:hint="eastAsia"/>
                <w:szCs w:val="22"/>
              </w:rPr>
              <w:t>，</w:t>
            </w:r>
            <w:r>
              <w:rPr>
                <w:szCs w:val="22"/>
              </w:rPr>
              <w:t>法定代表人为</w:t>
            </w:r>
            <w:r>
              <w:rPr>
                <w:rFonts w:hint="eastAsia"/>
                <w:szCs w:val="22"/>
              </w:rPr>
              <w:t>宋</w:t>
            </w:r>
            <w:r>
              <w:rPr>
                <w:szCs w:val="22"/>
              </w:rPr>
              <w:t>伟强。经营范围</w:t>
            </w:r>
            <w:r>
              <w:rPr>
                <w:rFonts w:hint="eastAsia"/>
                <w:szCs w:val="22"/>
              </w:rPr>
              <w:t>塑料管道管材（PVC-UH给水管、PE给水管、MPP电力通信管、PE燃气管、PE管件）的生产，上述基本信息与营业执照一致。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szCs w:val="22"/>
              </w:rPr>
            </w:pPr>
            <w:r>
              <w:rPr>
                <w:rFonts w:hint="eastAsia"/>
                <w:szCs w:val="22"/>
              </w:rPr>
              <w:t>公司组织下设：生产部、质检部、办公室、财务部、销售部等部门。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szCs w:val="22"/>
              </w:rPr>
            </w:pPr>
            <w:r>
              <w:rPr>
                <w:rFonts w:hint="eastAsia"/>
                <w:szCs w:val="22"/>
              </w:rPr>
              <w:t>公司经营(通讯)地址：</w:t>
            </w:r>
            <w:r>
              <w:rPr>
                <w:szCs w:val="22"/>
              </w:rPr>
              <w:t>浙江省嘉兴市嘉善县天凝镇东麟湖路7号</w:t>
            </w:r>
            <w:r>
              <w:rPr>
                <w:rFonts w:hint="eastAsia"/>
                <w:szCs w:val="22"/>
              </w:rPr>
              <w:t>2、3幢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szCs w:val="22"/>
              </w:rPr>
            </w:pPr>
            <w:r>
              <w:rPr>
                <w:rFonts w:hint="eastAsia"/>
                <w:szCs w:val="22"/>
              </w:rPr>
              <w:t>公司生产地址：天</w:t>
            </w:r>
            <w:r>
              <w:rPr>
                <w:szCs w:val="22"/>
              </w:rPr>
              <w:t>浙江省嘉兴市嘉善县天凝镇东麟湖路7号</w:t>
            </w:r>
            <w:r>
              <w:rPr>
                <w:rFonts w:hint="eastAsia"/>
                <w:szCs w:val="22"/>
              </w:rPr>
              <w:t>2、3幢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szCs w:val="22"/>
              </w:rPr>
            </w:pPr>
            <w:r>
              <w:rPr>
                <w:rFonts w:hint="eastAsia"/>
                <w:szCs w:val="22"/>
              </w:rPr>
              <w:t>公司建立并保持</w:t>
            </w:r>
            <w:bookmarkStart w:id="0" w:name="_Toc31801"/>
            <w:bookmarkStart w:id="1" w:name="_Toc14713"/>
            <w:r>
              <w:rPr>
                <w:rFonts w:hint="eastAsia"/>
                <w:szCs w:val="22"/>
              </w:rPr>
              <w:t>《组织环境与相关方要求管理程序》</w:t>
            </w:r>
            <w:bookmarkEnd w:id="0"/>
            <w:bookmarkEnd w:id="1"/>
          </w:p>
          <w:p>
            <w:pPr>
              <w:keepNext w:val="0"/>
              <w:keepLines w:val="0"/>
              <w:pageBreakBefore w:val="0"/>
              <w:widowControl w:val="0"/>
              <w:kinsoku/>
              <w:wordWrap/>
              <w:overflowPunct/>
              <w:topLinePunct w:val="0"/>
              <w:autoSpaceDE/>
              <w:autoSpaceDN/>
              <w:bidi w:val="0"/>
              <w:adjustRightInd/>
              <w:snapToGrid w:val="0"/>
              <w:spacing w:line="360" w:lineRule="auto"/>
              <w:textAlignment w:val="auto"/>
              <w:rPr>
                <w:szCs w:val="22"/>
              </w:rPr>
            </w:pPr>
            <w:r>
              <w:rPr>
                <w:rFonts w:hint="eastAsia"/>
                <w:szCs w:val="22"/>
              </w:rPr>
              <w:t>内外部环境要素识别与评估：在每年的管理评审前，由相关部门负责人进行识别并评估其适用性,  管理者代表每年在管理评审前组织一次全面的内外部内外部环境要素识别与评审。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szCs w:val="22"/>
              </w:rPr>
            </w:pPr>
            <w:r>
              <w:rPr>
                <w:rFonts w:hint="eastAsia"/>
                <w:szCs w:val="22"/>
              </w:rPr>
              <w:t>内外部环境要素监测与更新：管理者代表每年在管理评审前组织一次全面的内外部内外部环境要素识别与评审。另外各部门在获得内外内外部环境要素信息变化时，应及时告知管理者代表，由管理者代表对《组织内外部环境要素识别表》进行修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szCs w:val="22"/>
              </w:rPr>
            </w:pPr>
            <w:r>
              <w:rPr>
                <w:rFonts w:hint="eastAsia"/>
                <w:szCs w:val="22"/>
              </w:rPr>
              <w:t>查看公司《组织内外部环境因素识别评价记录》，外部环境：政治环境、法律环境、经济环境、社会文件环境、技术环境、自然环境、竞争力、传染病防治；内部环境：企业文化、公司价值观、知识积累、绩效、财务因素、资源和因素、人力因素、运营因素；对各环境因素的具体内容及信息来源进行了确定，对具体现状进行了描述并进行了SWOT分析。</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相关方需求和希望</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Q4.2</w:t>
            </w:r>
          </w:p>
          <w:p>
            <w:pPr>
              <w:spacing w:line="360" w:lineRule="auto"/>
              <w:rPr>
                <w:rFonts w:hint="eastAsia" w:ascii="Times New Roman" w:hAnsi="Times New Roman" w:cs="Times New Roman"/>
                <w:szCs w:val="22"/>
              </w:rPr>
            </w:pPr>
            <w:r>
              <w:rPr>
                <w:rFonts w:hint="eastAsia" w:ascii="Times New Roman" w:hAnsi="Times New Roman" w:cs="Times New Roman"/>
                <w:szCs w:val="22"/>
              </w:rPr>
              <w:t>O4.2</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szCs w:val="22"/>
                <w:lang w:eastAsia="zh-CN"/>
              </w:rPr>
            </w:pPr>
            <w:r>
              <w:rPr>
                <w:rFonts w:hint="eastAsia" w:ascii="Times New Roman" w:hAnsi="Times New Roman" w:cs="Times New Roman"/>
                <w:szCs w:val="22"/>
              </w:rPr>
              <w:t>公司对持续提供符合顾客要求和适用法律法规要求的具体影响和潜在影响的相关方进行了识别</w:t>
            </w:r>
            <w:r>
              <w:rPr>
                <w:rFonts w:hint="eastAsia" w:cs="Times New Roman"/>
                <w:szCs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组织环境与相关方要求管理程序》中，相关方包括但不限于顾客、所有者、组织中的成员、供应商、银行、工会、合伙人、竞争对手或社会团体或行业协会。在每年的管理评审前，由相关部门负责人进行识别并评估其适用性，具体部门及识别项目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管理者代表：所有者、合伙人、竞争对手或社会团体。</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生产部：外包加工方、竞争对手或社会团体。</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销售部：顾客、竞争对手或社会团体。</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办公室：员工代表、供应商、附近企业及居民、银行、工会、社会团体。</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各部门将识别结果登记在《相关方需求与期望清单》上，提交管理者代表进行汇总整理。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相关方期望或要求监测与更新：管理者代表每年在管理评审前组织一次全面的内外部环境要素识别与评审。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各部门在获得内外部环境要素信息变化时，应及时告知管理者代表，由管理者代表对《相关方及要求与期望清单》进行修订。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每次管理评审前，管理者代表汇总企业内外部环境要素情况及相关方的期望与要求的相关资料，并提交管理评审。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本公司所属相关方及其要求和期望如下：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环保局（政府职能单位）要求与期望：符合职业健康法律法规；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安监局（政府职能单位）要求与期望：符合安全法律法规；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质监局（政府职能单位）要求与期望：符合质量法律法规；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水务局（政府职能单位）要求与期望：节约用水；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供电所（政府职能单位）要求与期望：节约用电；</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邻近单位现场周围单位要求与期望：不可噪音，扬尘污染；</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业务往来单位要求与期望：节约用电；配合处理环保相关事宜，保持现场清洁；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公司对这些相关方及其要求的相关信息进行监视和评审。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查看公司《组织的相关方期望或要求识别表》，内容包含相关方、相关方的要求、收集方法、监事部门/责任人、相关判断准则及对策；</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查看公司《相关方的需求与期望清单》，对各相关方的需求和期望进行了明确，并建立了检测指标或项目，规定了检测频次及检测部门。</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管理体系的范围</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Q4.3</w:t>
            </w:r>
          </w:p>
          <w:p>
            <w:pPr>
              <w:spacing w:line="360" w:lineRule="auto"/>
              <w:rPr>
                <w:rFonts w:hint="eastAsia" w:ascii="Times New Roman" w:hAnsi="Times New Roman" w:cs="Times New Roman"/>
                <w:szCs w:val="22"/>
              </w:rPr>
            </w:pPr>
            <w:r>
              <w:rPr>
                <w:rFonts w:hint="eastAsia" w:ascii="Times New Roman" w:hAnsi="Times New Roman" w:cs="Times New Roman"/>
                <w:szCs w:val="22"/>
              </w:rPr>
              <w:t>O4.3</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公司在管理手册中确定了质量/职业健康管理体系范围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Q：塑料管道管材（PVC-UH给水管、PE给水管、MPP电力通信管、PE燃气管、PE管件）的生产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S：塑料管道管材（PVC-UH给水管、PE给水管、MPP电力通信管、PE燃气管、PE管件）的生产所其涉及场所的相关职业健康安全管理活动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场所：a)生产和经营活动区域；b)公司办公场所：浙江省嘉兴市嘉善县天凝镇东麟湖路7号2、3幢。C)涵盖公司各个区域、各部门、车间、办公室。</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 xml:space="preserve">在确认管理体系范围考虑：a) 各种内外部因素；b) 客户或相关方的要求；c) 产品和服务要求； d) 管理体系的基础设施（包括不同现场及活动）；e）外部供应的相关过程；f) 公司的知识、方针及战略；g）外包过程；h）外部供应的活动/过程/产品及服务；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不适用条款QMS8.3，公司目前所生产产品依据客供图纸、技术要求、国家标准、行业规范生产检验，工艺成熟，技术稳定。本企业确保不因删减影响本企业提供满足顾客和适用的法规要求的产品的能力，也不免除本企业相关责任。</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管理体系及其过程</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Q4.4</w:t>
            </w:r>
          </w:p>
          <w:p>
            <w:pPr>
              <w:spacing w:line="360" w:lineRule="auto"/>
              <w:rPr>
                <w:rFonts w:hint="eastAsia" w:ascii="Times New Roman" w:hAnsi="Times New Roman" w:cs="Times New Roman"/>
                <w:szCs w:val="22"/>
              </w:rPr>
            </w:pPr>
            <w:r>
              <w:rPr>
                <w:rFonts w:hint="eastAsia" w:ascii="Times New Roman" w:hAnsi="Times New Roman" w:cs="Times New Roman"/>
                <w:szCs w:val="22"/>
              </w:rPr>
              <w:t>O4.4</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公司按照ISO9001:2015《质量管理体系 要求》标准、ISO45001：2018《职业健康安全管理体系 要求及使用指南》标准要求，建立管理手册并作为公司纲领性文件，加以实施和保持，并持续改进。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公司建立《程序文件》，对本公司内部质量/职业健康安全体系运行的各程序进行控制。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编制了各类记录表格等作为过程运行的证据。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szCs w:val="22"/>
                <w:lang w:eastAsia="zh-CN"/>
              </w:rPr>
            </w:pPr>
            <w:r>
              <w:rPr>
                <w:rFonts w:hint="eastAsia" w:ascii="Times New Roman" w:hAnsi="Times New Roman" w:cs="Times New Roman"/>
                <w:szCs w:val="22"/>
              </w:rPr>
              <w:t>公司确定了管理方针及质量目标，并对目标进行分解，对完成情况进行统计，查看公司《目标分解及统计》，对目标分解到各相关部门，并明确了计算公式，考核频次，有7—9月考核结果</w:t>
            </w:r>
            <w:r>
              <w:rPr>
                <w:rFonts w:hint="eastAsia" w:cs="Times New Roman"/>
                <w:szCs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管理手册、程序文件明确各部门职责、权限；资源管理，测量分析和改进、运行控制等过程；通过对风险评估，识别，评价并制定相应措施进行风险控制，通过监视、测量和分析结果以及内审管理评审等达到持续改进的目的。</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领导作用和承诺/以顾客为关注焦点</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Q5.1</w:t>
            </w:r>
          </w:p>
          <w:p>
            <w:pPr>
              <w:spacing w:line="360" w:lineRule="auto"/>
              <w:rPr>
                <w:rFonts w:hint="eastAsia" w:ascii="Times New Roman" w:hAnsi="Times New Roman" w:cs="Times New Roman"/>
                <w:szCs w:val="22"/>
              </w:rPr>
            </w:pPr>
            <w:r>
              <w:rPr>
                <w:rFonts w:hint="eastAsia" w:ascii="Times New Roman" w:hAnsi="Times New Roman" w:cs="Times New Roman"/>
                <w:szCs w:val="22"/>
              </w:rPr>
              <w:t>O5.1</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最高管理层都具有较强的管理意识，明确管理承诺。主要承诺有：a)对管理体系的有效性承担责任;b)建立公司管理方针和管理目标，并确保方针、目标与组织的战略方向保持一致以及方针在公司内得到理解和实施;c) 在相关职能、层次、过程上建立公司管理目标，定期对目标的完成情况进行分析、总结以及改进，确保将管理体系要求纳入组织的业务运作以及实现管理体系预期的输出。促进使用过程方法和基于风险的思维。d) 积极开展培训和教育工作，使员工掌握岗位工作技能，保证按管理体系文件进行管理，精心施工，交付合格产品与优良产品。在整个公司内促进管理方针和管理目标的实现；e) 建立适合公司的质量、职业健康安全管理体系的组织机构，明确其相关职责；f)及时识别实现管理体系所需的资源，按计划提供。g)积极开展宣传教育活动，通过增强员工的意识、积极性和参与程度，以提高员工的质量、产品绿色、安全、服务意识，教育员工满足顾客和相关方的要求、遵循相关法律法规，促使、指导和支持员工努力提高管理体系的有效性；h)组织建立公司的质量、职业健康安全管理体系，确保其有效实施，实现管理体系的预期结果；i)定期进行管理评审，掌握管理体系的运行情况，对管理方针、目标和管理体系的适宜性、有效性进行评价，并持续进行改进；j）支持公司其他管理者履行其相关领域的职责。</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目前各项工作基本得到实施，并取得了一定的效果。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公司以顾客和相关方、员工为关注焦点，通过市场调研、信息沟通和预测，确定产品的要求，确定顾客的需求和期望，包括明示的和隐含的要求，以及相关法律法规的要求。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通过对合同要求的评审及质量策划以及企业内部的沟通，进一步将顾客要求转化为产品和服务质量特性要求，并予以落实，不断提高产品和服务的质量。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通过对顾客和相关方、员工满意度度的调查，评价公司的竞争能力，识别改进机会，制定并实施相应的措施，满足顾客和相关方、员工的要求并争取超越顾客及相关期望。</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管理方针</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Q5.2</w:t>
            </w:r>
          </w:p>
          <w:p>
            <w:pPr>
              <w:spacing w:line="360" w:lineRule="auto"/>
              <w:rPr>
                <w:rFonts w:hint="eastAsia" w:ascii="Times New Roman" w:hAnsi="Times New Roman" w:cs="Times New Roman"/>
                <w:szCs w:val="22"/>
              </w:rPr>
            </w:pPr>
            <w:r>
              <w:rPr>
                <w:rFonts w:hint="eastAsia" w:ascii="Times New Roman" w:hAnsi="Times New Roman" w:cs="Times New Roman"/>
                <w:szCs w:val="22"/>
              </w:rPr>
              <w:t>O5.2</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公司确定管理方针体现公司的管理宗旨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 xml:space="preserve">管理方针：诚信至上，质量为主，优质高效；安全第一，保障健康，减少风险；全员参与，遵守法规，持续改进。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方针沟通方式：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a)办公室通过各种宣传方式，将质量/职业健康安全方针宣传到本公司各层次，确保质量 /职业健康安全管理方针得到正确的理解和实施。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b)在每次管理评审会议上，总经理须组织对质量/职业健康安全管理方针的持续适宜性和有效性进行评审，并根据评审结果对其做出必要的调整。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c )当有相关方需要公司提供质量/职业健康安全管理方针时，应由办公室及时提供，并做好发放记录。</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组织的岗位、职责权限</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Q5.3</w:t>
            </w:r>
          </w:p>
          <w:p>
            <w:pPr>
              <w:spacing w:line="360" w:lineRule="auto"/>
              <w:rPr>
                <w:rFonts w:hint="eastAsia" w:ascii="Times New Roman" w:hAnsi="Times New Roman" w:cs="Times New Roman"/>
                <w:szCs w:val="22"/>
              </w:rPr>
            </w:pPr>
            <w:r>
              <w:rPr>
                <w:rFonts w:hint="eastAsia" w:ascii="Times New Roman" w:hAnsi="Times New Roman" w:cs="Times New Roman"/>
                <w:szCs w:val="22"/>
              </w:rPr>
              <w:t>O5.3</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本公司最高管理者确保本公司内与质量、职业健康安全管理有关的职能部门及相关人员的职责和权限得到规定，形成文件并传递到公司各管理层；部门领导及部门员工的职责由部门根据部门职责制定.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公司任命熊延亮同志为公司质量、职业健康安全管理体系的管理体系负责人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查看公司《各岗位职责》，管理者代表职责规定如下：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a) 负责公司质量、职业健康安全管理体系的建立、实施、保持和持续改进；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b) 向总经理报告体系的业绩及管理体系改进需求；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c) 提高公司员工满足法律法规和相关方要求的意识；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d) 负责公司质量、职业健康安全管理体系有关事宜的内、外部协调、联络。</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应对风险和机会的策划</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Q6.1</w:t>
            </w:r>
          </w:p>
          <w:p>
            <w:pPr>
              <w:spacing w:line="360" w:lineRule="auto"/>
              <w:rPr>
                <w:rFonts w:hint="eastAsia" w:ascii="Times New Roman" w:hAnsi="Times New Roman" w:cs="Times New Roman"/>
                <w:szCs w:val="22"/>
              </w:rPr>
            </w:pPr>
            <w:r>
              <w:rPr>
                <w:rFonts w:hint="eastAsia" w:ascii="Times New Roman" w:hAnsi="Times New Roman" w:cs="Times New Roman"/>
                <w:szCs w:val="22"/>
              </w:rPr>
              <w:t>O6.1</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szCs w:val="22"/>
                <w:lang w:eastAsia="zh-CN"/>
              </w:rPr>
            </w:pPr>
            <w:r>
              <w:rPr>
                <w:rFonts w:hint="eastAsia" w:ascii="Times New Roman" w:hAnsi="Times New Roman" w:cs="Times New Roman"/>
                <w:szCs w:val="22"/>
              </w:rPr>
              <w:t>公司建立《机遇和风险的应对管理程序》，明确应对风险的各部门职责，及风险和机遇管理策划、管理团队、管理计划、评价准则、可接受准则、应对、评审等</w:t>
            </w:r>
            <w:r>
              <w:rPr>
                <w:rFonts w:hint="eastAsia" w:cs="Times New Roman"/>
                <w:szCs w:val="2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查《风险和机遇清单》，有风险来源、风险/机遇描述、涉及过程/活动、（建议）应对措施。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主要风险有：未严格按照招聘程序及招聘要求，对录用者的年龄、背景及身份信息疏于核查；培训过程流于形式，员工无法获取真实的理论与实操知识；劳保用品发放的及时与否；企业内部的安全隐患未及时得到鉴别、排查与整改；人员素质参差不齐，环保、安全意识不强，对岗位环境、安全因素认识不足，控制方法不明确；适用环境法律法规的识别、收集不够，相对应公司内部活动及环境、安全因素不够明确，部分员工法律意识淡薄；未履行合规义务可损害组织的声誉或导致诉讼。针对上述风险有应对的措施，措施基本符合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公司对风险和机遇进行评估，查《风险和机遇评估分析表》，对详细的风险和机遇进行评估。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公司建立有《危险源辨识、风险评价管理程序》，对危险源辨识与风险等级原则、危险源的辨识范围、危险源辨识应考虑内容、危险源的辨识方法、危险源的评价等作业程序进行了明确。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重大危险源清单》，危险源有：各种电器、开关、线路、设备漏电，无漏电保护装置；电器、设备线路短路跳火；各夏日安排不当、防护不当；冬季雨雪天气，易滑易冻；运输过程车辆事故；切割、粉碎等机加工过程发生意外；挤塑成型过程发生事故；新冠肺炎、流感等公共卫生事件。上述危险源对应的重大风险有：触电、火灾、中暑、摔伤、冻伤、车辆伤害、物体打击、机械伤害、灼伤、高处坠落、传染病等。危害主要有：人员轻伤、重伤、伤亡、人员健康受损等。控制措施为：管理方案、应急预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 《危险源辨识和风险评价表》，包含场所/过程、危险点、危险源及伤害类别、风险评价等内容，公司对各部门危险源的潜在风险通过LEC方法评价，并确定风险等级，评价基本全面。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公司制定《法律、法规与其他要求收集评价管理程序》，用于及时识别、获取、传达和更新适用于公司的职业健康安全法律法规与其他要求。查看公司《法律法规和其他要求清单》，收集的基本全面。</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目标及其实现的策划</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Q6.2</w:t>
            </w:r>
          </w:p>
          <w:p>
            <w:pPr>
              <w:spacing w:line="360" w:lineRule="auto"/>
              <w:rPr>
                <w:rFonts w:hint="eastAsia" w:ascii="Times New Roman" w:hAnsi="Times New Roman" w:cs="Times New Roman"/>
                <w:szCs w:val="22"/>
              </w:rPr>
            </w:pPr>
            <w:r>
              <w:rPr>
                <w:rFonts w:hint="eastAsia" w:ascii="Times New Roman" w:hAnsi="Times New Roman" w:cs="Times New Roman"/>
                <w:szCs w:val="22"/>
              </w:rPr>
              <w:t>O6.2</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公司质量目标：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 xml:space="preserve">1.产品一次交验合格率≥96%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2.顾客满意度≥95%。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职业健康安全目标和指标：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1.目标：杜绝火灾的发生；指标：火灾发生率为0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2.目标：预防职业健康安全事故的发生；指标：人员死亡事故为0人次；控制年工伤事故为≤3人次；职业病发生事故为0人次。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为保证公司管理目标和指标的实现，针对危险源制定管理方案。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公司对目标进行了分解，建立各部门目标。查公司《目标分解及统计表》，公司按季度对目标实现情况进行考核，针对各目标均有计算公式，2020年各部门目标均已完成。</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变更的策划</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Q6.3</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管理体系变更的策划：由于顾客、相关方和市场等原因而导致管理体系变更时，应对这种变更进行策划，并规定与变更有关的过程和相关资源。如组织机构的调整应对职责作出相应的变更，以确保体系的正常运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公司目前对管理体系暂无变更。</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资源</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Q7.1</w:t>
            </w:r>
          </w:p>
          <w:p>
            <w:pPr>
              <w:spacing w:line="360" w:lineRule="auto"/>
              <w:rPr>
                <w:rFonts w:hint="eastAsia" w:ascii="Times New Roman" w:hAnsi="Times New Roman" w:cs="Times New Roman"/>
                <w:szCs w:val="22"/>
              </w:rPr>
            </w:pPr>
            <w:r>
              <w:rPr>
                <w:rFonts w:hint="eastAsia" w:ascii="Times New Roman" w:hAnsi="Times New Roman" w:cs="Times New Roman"/>
                <w:szCs w:val="22"/>
              </w:rPr>
              <w:t>O7.1</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公司确定体系覆盖45人，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部门：生产部、质检部、办公室、财务部、销售部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生产设备：管材生产线、混料机、破碎机、冷却塔、冰水机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监视测量设备：千分尺、游标卡尺、卷尺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公司有办公场所、生产车间、仓储地等必要的生产环境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公司制定了《知识管理程序》，确定了内外部知识与经验的来源、应用、传承，并有知识清单，内容包含知识来源、知识名称、知识应用、来源方。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组织通过《基础设施和工作环境控制程序》、《监视和测量设备管理程序》、《知识管理程序》、《人力资源管理程序》对组织的资源实施控制和管理。</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监视和测量</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Q9.1.1</w:t>
            </w:r>
          </w:p>
          <w:p>
            <w:pPr>
              <w:spacing w:line="360" w:lineRule="auto"/>
              <w:rPr>
                <w:rFonts w:hint="eastAsia" w:ascii="Times New Roman" w:hAnsi="Times New Roman" w:cs="Times New Roman"/>
                <w:szCs w:val="22"/>
              </w:rPr>
            </w:pPr>
            <w:r>
              <w:rPr>
                <w:rFonts w:hint="eastAsia" w:ascii="Times New Roman" w:hAnsi="Times New Roman" w:cs="Times New Roman"/>
                <w:szCs w:val="22"/>
              </w:rPr>
              <w:t>O9.1.1</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对顾客满意情况、内部审核过程和产品质量及职业健康安全状况的监视和测量、不合格品控制、持续策划等过程进行策划，做出规定并组织实施，同时通过信息传递对相关数据的记录、收集和分析及运用适当的统计技术，提出并实施纠正和预防措施，以证实产品和服务的符合性、管理体系的符合性和持续改进管理体系的有效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制定《绩效测量与监视管理程序》，对公司的环境绩效和职业健康安全绩效定期监视、测量和评估，以确保符合相关的法律、法规及其他要求。内容包含：测量和监视内容、测量和监视方法、绩效测量的实施、绩效监视的实施、测量和监视情况的记录传递和评价。</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管理评审</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Q9.3</w:t>
            </w:r>
          </w:p>
          <w:p>
            <w:pPr>
              <w:spacing w:line="360" w:lineRule="auto"/>
              <w:rPr>
                <w:rFonts w:hint="eastAsia" w:ascii="Times New Roman" w:hAnsi="Times New Roman" w:cs="Times New Roman"/>
                <w:szCs w:val="22"/>
              </w:rPr>
            </w:pPr>
            <w:r>
              <w:rPr>
                <w:rFonts w:hint="eastAsia" w:ascii="Times New Roman" w:hAnsi="Times New Roman" w:cs="Times New Roman"/>
                <w:szCs w:val="22"/>
              </w:rPr>
              <w:t>O9.3</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看《管理评审管理程序》，管理评审每年召开一次，两次之间间隔不超过十二个月。一般选择在内部质量审核后和外审之前。下列情况下，由管理者代表申请，经总经理批准适时进行管理评审：1.重大的顾客投诉；2.发现质量、职业健康安全管理体系的严重不符合等；3.即将进行第二或第三方审核或法律、法规规定的审核时；4.组织结构、产品范围、技术和工艺、资源配置的重大变动；5.社会环境、市场需求、法律法规和标准发生重大变化；</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提供《2020年管理评审资料汇编》</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评审时间：2020.10.29</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评审参加部门及人员：总经理、管理者代表、各部门负责人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管理评审内容及资料：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 xml:space="preserve">1.方针贯彻、目标达成情况分析，管理方针和目标的适宜性；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2.组织机构的设置情况;</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3.质量/职业健康管理体系的适宜性、充分性、有效性；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4.服务质量满足要求的程度；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5.服务质量、管理活动状况及发展趋势；</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6.潜在问题的预测以及服务质量、管理水平改进和提高的机会；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7.资源的配置情况及资源需求；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8.公司质量/职业健康安全状况及与法律法规及其他要求的符合性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9.质量/职业健康安全管理体系有效性和适宜性及需要调整的建议。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10.员工的合理化建议。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11.管理体系审核的结论及纠正预防措施的实施效果。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12.注意导致QS问题的趋势，尤其是经常出现问题的领域。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13.市场信息、顾客和相关方意见的反馈。</w:t>
            </w:r>
            <w:r>
              <w:rPr>
                <w:rFonts w:hint="eastAsia" w:ascii="Times New Roman" w:hAnsi="Times New Roman" w:cs="Times New Roman"/>
                <w:szCs w:val="22"/>
              </w:rPr>
              <w:br w:type="textWrapping"/>
            </w:r>
            <w:r>
              <w:rPr>
                <w:rFonts w:hint="eastAsia" w:ascii="Times New Roman" w:hAnsi="Times New Roman" w:cs="Times New Roman"/>
                <w:szCs w:val="22"/>
              </w:rPr>
              <w:t>管理评审结论：总的来说，本公司质量、职业健康管理体系已建立并得到充分、有效、适宜的运行，全体员工必须以公司的质量、职业健康管理方针 为宗旨，持续改善质量、职业健康管理体系。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改进的建议或措施：我公司有关人员对标准ISO9001、ISO45001:2018的理解不够深刻，现要求各部门负责人应加强公司质量、职业健康对管理体系文件的认真再学习，并充分理解，树立法制管理的观念，严格执行公司的法规性的质量、职业健康与管理体系文件，决定在两周之内由办公室组织相关人员再进行1次针对标准和管理手册的培训。</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cs="Times New Roman"/>
                <w:szCs w:val="22"/>
                <w:lang w:val="en-US" w:eastAsia="zh-CN"/>
              </w:rPr>
              <w:t>提供</w:t>
            </w:r>
            <w:r>
              <w:rPr>
                <w:rFonts w:hint="eastAsia" w:ascii="Times New Roman" w:hAnsi="Times New Roman" w:cs="Times New Roman"/>
                <w:szCs w:val="22"/>
              </w:rPr>
              <w:t>《培训记录》，培训时间：2020.10.30，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考核方式：提问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培训效果评价：有效，评价人员：孙如明</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改进总则</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Q10.1</w:t>
            </w:r>
          </w:p>
          <w:p>
            <w:pPr>
              <w:spacing w:line="360" w:lineRule="auto"/>
              <w:rPr>
                <w:rFonts w:hint="eastAsia" w:ascii="Times New Roman" w:hAnsi="Times New Roman" w:cs="Times New Roman"/>
                <w:szCs w:val="22"/>
              </w:rPr>
            </w:pPr>
            <w:r>
              <w:rPr>
                <w:rFonts w:hint="eastAsia" w:ascii="Times New Roman" w:hAnsi="Times New Roman" w:cs="Times New Roman"/>
                <w:szCs w:val="22"/>
              </w:rPr>
              <w:t>O10.1</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通过建立管理方针，确定管理目标、指标和管理方案，开展内部审核、管理评审，应用适宜的统计技术进行数据的收集和分析、实施纠正和预防措施，以及监视、测量和绩效监测等活动，选择改进机会，以持续改进管理体系的有效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1.以公司的管理方针和管理目标为持续改进的准则。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2.日常的改进活动由各部门组织，应利用对有关数据的分析结果，为持续改进提供信息。</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3.对于重要的改进，通过开展管理评审，评价管理体系变更及持续改进的需要，确定改进的方面。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4.根据质量管理分析和评价的结果，确定公司的管理创新目标及措施，并跟踪、反馈实施结果。</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持续改进</w:t>
            </w:r>
          </w:p>
        </w:tc>
        <w:tc>
          <w:tcPr>
            <w:tcW w:w="86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Q10.3</w:t>
            </w:r>
          </w:p>
          <w:p>
            <w:pPr>
              <w:spacing w:line="360" w:lineRule="auto"/>
              <w:rPr>
                <w:rFonts w:hint="eastAsia" w:ascii="Times New Roman" w:hAnsi="Times New Roman" w:cs="Times New Roman"/>
                <w:szCs w:val="22"/>
              </w:rPr>
            </w:pPr>
            <w:r>
              <w:rPr>
                <w:rFonts w:hint="eastAsia" w:ascii="Times New Roman" w:hAnsi="Times New Roman" w:cs="Times New Roman"/>
                <w:szCs w:val="22"/>
              </w:rPr>
              <w:t>O10.3</w:t>
            </w:r>
          </w:p>
        </w:tc>
        <w:tc>
          <w:tcPr>
            <w:tcW w:w="1149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2020年10月29日通过管理评审，得出目前管理体系运行适宜、充分、有效的结论。并提出了需加强标准培训的改进要求，并制定培训计划，于10月30日进行了培训，培训效果有效。</w:t>
            </w:r>
          </w:p>
        </w:tc>
        <w:tc>
          <w:tcPr>
            <w:tcW w:w="709" w:type="dxa"/>
          </w:tcPr>
          <w:p>
            <w:pPr>
              <w:rPr>
                <w:szCs w:val="21"/>
              </w:rPr>
            </w:pPr>
          </w:p>
        </w:tc>
      </w:tr>
    </w:tbl>
    <w:p>
      <w:pPr>
        <w:rPr>
          <w:rFonts w:ascii="楷体" w:hAnsi="楷体" w:eastAsia="楷体"/>
          <w:szCs w:val="21"/>
        </w:rPr>
      </w:pPr>
    </w:p>
    <w:p>
      <w:pPr>
        <w:pStyle w:val="8"/>
        <w:rPr>
          <w:rFonts w:ascii="楷体" w:hAnsi="楷体" w:eastAsia="楷体"/>
          <w:sz w:val="21"/>
          <w:szCs w:val="21"/>
        </w:rPr>
      </w:pPr>
    </w:p>
    <w:p>
      <w:pPr>
        <w:pStyle w:val="8"/>
        <w:rPr>
          <w:rFonts w:ascii="楷体" w:hAnsi="楷体" w:eastAsia="楷体"/>
          <w:sz w:val="21"/>
          <w:szCs w:val="21"/>
        </w:rPr>
      </w:pPr>
    </w:p>
    <w:p>
      <w:pPr>
        <w:pStyle w:val="8"/>
        <w:rPr>
          <w:rFonts w:ascii="楷体" w:hAnsi="楷体" w:eastAsia="楷体"/>
          <w:sz w:val="21"/>
          <w:szCs w:val="21"/>
        </w:rPr>
      </w:pPr>
    </w:p>
    <w:p>
      <w:pPr>
        <w:pStyle w:val="8"/>
        <w:rPr>
          <w:rFonts w:ascii="楷体" w:hAnsi="楷体" w:eastAsia="楷体"/>
          <w:sz w:val="21"/>
          <w:szCs w:val="21"/>
        </w:rPr>
      </w:pPr>
    </w:p>
    <w:p>
      <w:pPr>
        <w:pStyle w:val="8"/>
        <w:rPr>
          <w:rFonts w:ascii="楷体" w:hAnsi="楷体" w:eastAsia="楷体"/>
          <w:sz w:val="21"/>
          <w:szCs w:val="21"/>
        </w:rPr>
      </w:pPr>
    </w:p>
    <w:tbl>
      <w:tblPr>
        <w:tblStyle w:val="11"/>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79"/>
        <w:gridCol w:w="114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szCs w:val="21"/>
              </w:rPr>
            </w:pPr>
            <w:r>
              <w:rPr>
                <w:szCs w:val="21"/>
              </w:rPr>
              <w:t>过程与活动、</w:t>
            </w:r>
          </w:p>
          <w:p>
            <w:pPr>
              <w:jc w:val="center"/>
              <w:rPr>
                <w:szCs w:val="21"/>
              </w:rPr>
            </w:pPr>
            <w:r>
              <w:rPr>
                <w:szCs w:val="21"/>
              </w:rPr>
              <w:t>抽样计划</w:t>
            </w:r>
          </w:p>
        </w:tc>
        <w:tc>
          <w:tcPr>
            <w:tcW w:w="879" w:type="dxa"/>
            <w:vMerge w:val="restart"/>
            <w:vAlign w:val="center"/>
          </w:tcPr>
          <w:p>
            <w:pPr>
              <w:rPr>
                <w:szCs w:val="21"/>
              </w:rPr>
            </w:pPr>
            <w:r>
              <w:rPr>
                <w:szCs w:val="21"/>
              </w:rPr>
              <w:t>涉及</w:t>
            </w:r>
          </w:p>
          <w:p>
            <w:pPr>
              <w:rPr>
                <w:szCs w:val="21"/>
              </w:rPr>
            </w:pPr>
            <w:r>
              <w:rPr>
                <w:szCs w:val="21"/>
              </w:rPr>
              <w:t>条款</w:t>
            </w:r>
          </w:p>
        </w:tc>
        <w:tc>
          <w:tcPr>
            <w:tcW w:w="11480" w:type="dxa"/>
            <w:vAlign w:val="center"/>
          </w:tcPr>
          <w:p>
            <w:pPr>
              <w:rPr>
                <w:rFonts w:hint="eastAsia" w:eastAsia="宋体"/>
                <w:szCs w:val="21"/>
                <w:lang w:val="en-US" w:eastAsia="zh-CN"/>
              </w:rPr>
            </w:pPr>
            <w:r>
              <w:rPr>
                <w:szCs w:val="21"/>
              </w:rPr>
              <w:t>受审核部门：</w:t>
            </w:r>
            <w:r>
              <w:rPr>
                <w:rFonts w:hint="eastAsia"/>
                <w:szCs w:val="21"/>
                <w:lang w:val="en-US" w:eastAsia="zh-CN"/>
              </w:rPr>
              <w:t>财务部</w:t>
            </w:r>
            <w:r>
              <w:rPr>
                <w:szCs w:val="21"/>
              </w:rPr>
              <w:t xml:space="preserve">        主管领导：</w:t>
            </w:r>
            <w:r>
              <w:rPr>
                <w:rFonts w:hint="eastAsia"/>
                <w:szCs w:val="21"/>
                <w:lang w:val="en-US" w:eastAsia="zh-CN"/>
              </w:rPr>
              <w:t>马叶军</w:t>
            </w:r>
          </w:p>
        </w:tc>
        <w:tc>
          <w:tcPr>
            <w:tcW w:w="709" w:type="dxa"/>
            <w:vMerge w:val="restart"/>
            <w:vAlign w:val="center"/>
          </w:tcPr>
          <w:p>
            <w:pPr>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szCs w:val="21"/>
              </w:rPr>
            </w:pPr>
          </w:p>
        </w:tc>
        <w:tc>
          <w:tcPr>
            <w:tcW w:w="879" w:type="dxa"/>
            <w:vMerge w:val="continue"/>
            <w:vAlign w:val="center"/>
          </w:tcPr>
          <w:p>
            <w:pPr>
              <w:rPr>
                <w:szCs w:val="21"/>
              </w:rPr>
            </w:pPr>
          </w:p>
        </w:tc>
        <w:tc>
          <w:tcPr>
            <w:tcW w:w="11480" w:type="dxa"/>
            <w:vAlign w:val="center"/>
          </w:tcPr>
          <w:p>
            <w:pPr>
              <w:spacing w:before="120"/>
              <w:rPr>
                <w:rFonts w:hint="default" w:eastAsia="宋体"/>
                <w:szCs w:val="21"/>
                <w:lang w:val="en-US" w:eastAsia="zh-CN"/>
              </w:rPr>
            </w:pPr>
            <w:r>
              <w:rPr>
                <w:szCs w:val="21"/>
              </w:rPr>
              <w:t>审核员：</w:t>
            </w:r>
            <w:r>
              <w:rPr>
                <w:rFonts w:hint="eastAsia"/>
                <w:szCs w:val="21"/>
              </w:rPr>
              <w:t>李蒙生</w:t>
            </w:r>
            <w:r>
              <w:rPr>
                <w:szCs w:val="21"/>
              </w:rPr>
              <w:t xml:space="preserve">                审核时间：2020</w:t>
            </w:r>
            <w:r>
              <w:rPr>
                <w:rFonts w:hint="eastAsia"/>
                <w:szCs w:val="21"/>
              </w:rPr>
              <w:t>.11.</w:t>
            </w:r>
            <w:r>
              <w:rPr>
                <w:rFonts w:hint="eastAsia"/>
                <w:szCs w:val="21"/>
                <w:lang w:val="en-US" w:eastAsia="zh-CN"/>
              </w:rPr>
              <w:t>12</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szCs w:val="21"/>
              </w:rPr>
            </w:pPr>
          </w:p>
        </w:tc>
        <w:tc>
          <w:tcPr>
            <w:tcW w:w="879" w:type="dxa"/>
            <w:vMerge w:val="continue"/>
            <w:vAlign w:val="center"/>
          </w:tcPr>
          <w:p>
            <w:pPr>
              <w:rPr>
                <w:szCs w:val="21"/>
              </w:rPr>
            </w:pPr>
          </w:p>
        </w:tc>
        <w:tc>
          <w:tcPr>
            <w:tcW w:w="11480" w:type="dxa"/>
            <w:vAlign w:val="center"/>
          </w:tcPr>
          <w:p>
            <w:pPr>
              <w:rPr>
                <w:szCs w:val="21"/>
              </w:rPr>
            </w:pPr>
            <w:r>
              <w:rPr>
                <w:szCs w:val="21"/>
              </w:rPr>
              <w:t>审核条款：</w:t>
            </w:r>
            <w:r>
              <w:rPr>
                <w:rFonts w:hint="eastAsia"/>
                <w:sz w:val="21"/>
                <w:szCs w:val="21"/>
              </w:rPr>
              <w:t>Q5.3/6.2</w:t>
            </w:r>
            <w:r>
              <w:rPr>
                <w:rFonts w:hint="eastAsia"/>
                <w:sz w:val="21"/>
                <w:szCs w:val="21"/>
                <w:lang w:eastAsia="zh-CN"/>
              </w:rPr>
              <w:t>；</w:t>
            </w:r>
            <w:r>
              <w:rPr>
                <w:rFonts w:hint="eastAsia"/>
                <w:sz w:val="21"/>
                <w:szCs w:val="21"/>
                <w:lang w:val="en-US" w:eastAsia="zh-CN"/>
              </w:rPr>
              <w:t>O</w:t>
            </w:r>
            <w:r>
              <w:rPr>
                <w:rFonts w:hint="eastAsia"/>
                <w:sz w:val="21"/>
                <w:szCs w:val="21"/>
              </w:rPr>
              <w:t>5.3/6.1.2/6.2/8.1/8.2</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组织的岗位、职责和权限</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QO5.3</w:t>
            </w:r>
          </w:p>
          <w:p>
            <w:pPr>
              <w:spacing w:line="360" w:lineRule="auto"/>
              <w:rPr>
                <w:rFonts w:hint="eastAsia" w:ascii="Times New Roman" w:hAnsi="Times New Roman" w:cs="Times New Roman"/>
                <w:szCs w:val="22"/>
              </w:rPr>
            </w:pP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lang w:val="en-US" w:eastAsia="zh-CN"/>
              </w:rPr>
            </w:pPr>
            <w:r>
              <w:rPr>
                <w:rFonts w:hint="eastAsia" w:ascii="Times New Roman" w:hAnsi="Times New Roman" w:cs="Times New Roman"/>
                <w:szCs w:val="22"/>
              </w:rPr>
              <w:t>部门负责人：</w:t>
            </w:r>
            <w:r>
              <w:rPr>
                <w:rFonts w:hint="eastAsia" w:ascii="Times New Roman" w:hAnsi="Times New Roman" w:cs="Times New Roman"/>
                <w:szCs w:val="22"/>
                <w:lang w:val="en-US" w:eastAsia="zh-CN"/>
              </w:rPr>
              <w:t>马叶军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部门职责：</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a) 贯彻执行国家和上级有关法律法规，负责公司财务和资金资源管理工作；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b) 协助总经理策划、控制实现目标、指标所必需的财务资源；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c) 根据公司领导安排协调、保证公司环境与职业健康安全管理体系运行所需资金资源的投入；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d) 组织对本部门员工进行健康安全意识教育和业务培训；负责本部门相关文件的编写、修订和文件、记录的管理；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e) 对质量、职业健康安全管理体系提出改进建议</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lang w:val="en-US" w:eastAsia="zh-CN"/>
              </w:rPr>
              <w:t>危险源识别、风险和机遇的评价</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O6.1.2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财务部对危险源进行了识别</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主要危险点为电器、办公设备；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危险源及伤害类别：设备绝缘失灵、电线电缆老化等致人触电；电器设备老化、过载导致潜在火灾；意外伤害；传染病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通过LEC评价法进行风险评价，上述危险源无重大危险源，为低度风险及中度风险。</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目标和实现的策划</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Q6.2</w:t>
            </w:r>
          </w:p>
          <w:p>
            <w:pPr>
              <w:spacing w:line="360" w:lineRule="auto"/>
              <w:rPr>
                <w:rFonts w:hint="eastAsia" w:ascii="Times New Roman" w:hAnsi="Times New Roman" w:cs="Times New Roman"/>
                <w:szCs w:val="22"/>
              </w:rPr>
            </w:pPr>
            <w:r>
              <w:rPr>
                <w:rFonts w:hint="eastAsia" w:ascii="Times New Roman" w:hAnsi="Times New Roman" w:cs="Times New Roman"/>
                <w:szCs w:val="22"/>
              </w:rPr>
              <w:t>O6.2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财务部目标为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火灾事故为0；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保证体系运行所需的资金投入100%；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控制年工伤事故为≤3人次。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查看公司《目标分解表》，该部门</w:t>
            </w:r>
            <w:r>
              <w:rPr>
                <w:rFonts w:hint="eastAsia" w:cs="Times New Roman"/>
                <w:szCs w:val="22"/>
                <w:lang w:val="en-US" w:eastAsia="zh-CN"/>
              </w:rPr>
              <w:t>2020年3季度</w:t>
            </w:r>
            <w:r>
              <w:rPr>
                <w:rFonts w:hint="eastAsia" w:ascii="Times New Roman" w:hAnsi="Times New Roman" w:cs="Times New Roman"/>
                <w:szCs w:val="22"/>
              </w:rPr>
              <w:t>目标均已完成。</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运行策划和控制</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lang w:val="en-US" w:eastAsia="zh-CN"/>
              </w:rPr>
              <w:t>O8.1</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lang w:val="en-GB" w:eastAsia="zh-CN"/>
              </w:rPr>
            </w:pPr>
            <w:r>
              <w:rPr>
                <w:rFonts w:hint="eastAsia" w:ascii="Times New Roman" w:hAnsi="Times New Roman" w:cs="Times New Roman"/>
                <w:szCs w:val="22"/>
                <w:lang w:val="en-GB" w:eastAsia="zh-CN"/>
              </w:rPr>
              <w:t>运行控制情况：办公过程注意节约用电，做到人走灯灭，电脑长时间不用时关机，下班前要关闭电源；</w:t>
            </w:r>
            <w:r>
              <w:rPr>
                <w:rFonts w:hint="eastAsia" w:ascii="Times New Roman" w:hAnsi="Times New Roman" w:cs="Times New Roman"/>
                <w:szCs w:val="22"/>
              </w:rPr>
              <w:t>办公过程使用的电器如：空调、电脑、灯具均符合安全设计要求，使用过程注意安全，预防触电</w:t>
            </w:r>
            <w:r>
              <w:rPr>
                <w:rFonts w:hint="eastAsia" w:ascii="Times New Roman" w:hAnsi="Times New Roman" w:cs="Times New Roman"/>
                <w:szCs w:val="22"/>
                <w:lang w:eastAsia="zh-CN"/>
              </w:rPr>
              <w:t>，</w:t>
            </w:r>
            <w:r>
              <w:rPr>
                <w:rFonts w:hint="eastAsia" w:ascii="Times New Roman" w:hAnsi="Times New Roman" w:cs="Times New Roman"/>
                <w:szCs w:val="22"/>
              </w:rPr>
              <w:t>工作时间平均每天8小时；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公司定期对办公区环境安全进行检查，查看公司《办公区环境安全检查记录》，时间：2020.7.20，公司固废分类合理排放政治，消防安全装置配置齐全、现场卫生干净整洁、电气线路无漏线、空调使用无缺弗正常使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查看公司《2020年能源资源消耗统计表》，对3月—9月的用水用电量分别进行了统计。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为员工配备了安全防护设施—提供《劳保用品发放记录》</w:t>
            </w:r>
            <w:r>
              <w:rPr>
                <w:rFonts w:hint="eastAsia" w:ascii="Times New Roman" w:hAnsi="Times New Roman" w:cs="Times New Roman"/>
                <w:szCs w:val="22"/>
                <w:lang w:eastAsia="zh-CN"/>
              </w:rPr>
              <w:t>，</w:t>
            </w:r>
            <w:r>
              <w:rPr>
                <w:rFonts w:hint="eastAsia" w:ascii="Times New Roman" w:hAnsi="Times New Roman" w:cs="Times New Roman"/>
                <w:szCs w:val="22"/>
              </w:rPr>
              <w:t>主要劳保用品为：</w:t>
            </w:r>
            <w:r>
              <w:rPr>
                <w:rFonts w:hint="eastAsia" w:ascii="Times New Roman" w:hAnsi="Times New Roman" w:cs="Times New Roman"/>
                <w:szCs w:val="22"/>
                <w:lang w:val="en-US" w:eastAsia="zh-CN"/>
              </w:rPr>
              <w:t>工作服、手套、口罩、酒精消毒液、测温枪等</w:t>
            </w:r>
            <w:r>
              <w:rPr>
                <w:rFonts w:hint="eastAsia" w:ascii="Times New Roman" w:hAnsi="Times New Roman" w:cs="Times New Roman"/>
                <w:szCs w:val="22"/>
              </w:rPr>
              <w:t>，记录了发放时间、领用人等</w:t>
            </w:r>
            <w:r>
              <w:rPr>
                <w:rFonts w:hint="eastAsia" w:ascii="Times New Roman" w:hAnsi="Times New Roman" w:cs="Times New Roman"/>
                <w:szCs w:val="2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对</w:t>
            </w:r>
            <w:r>
              <w:rPr>
                <w:rFonts w:hint="eastAsia" w:ascii="Times New Roman" w:hAnsi="Times New Roman" w:cs="Times New Roman"/>
                <w:szCs w:val="22"/>
                <w:lang w:eastAsia="zh-CN"/>
              </w:rPr>
              <w:t>职业健康安全方面的资金投入</w:t>
            </w:r>
            <w:r>
              <w:rPr>
                <w:rFonts w:hint="eastAsia" w:ascii="Times New Roman" w:hAnsi="Times New Roman" w:cs="Times New Roman"/>
                <w:szCs w:val="22"/>
              </w:rPr>
              <w:t>情况</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2020年）</w:t>
            </w:r>
            <w:r>
              <w:rPr>
                <w:rFonts w:hint="eastAsia" w:ascii="Times New Roman" w:hAnsi="Times New Roman" w:cs="Times New Roman"/>
                <w:szCs w:val="22"/>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劳保费用：12万元；体系认真、环境、职业健康安全资金投入：8万元；水、电费14万元；汽车、人员保险：36万元；体检费用：2万元；运维工具：6000元。</w:t>
            </w:r>
            <w:r>
              <w:rPr>
                <w:rFonts w:hint="eastAsia" w:ascii="Times New Roman" w:hAnsi="Times New Roman" w:cs="Times New Roman"/>
                <w:szCs w:val="22"/>
              </w:rPr>
              <w:t xml:space="preserve"> </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应急准备和响应</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O8.2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lang w:val="en-US" w:eastAsia="zh-CN"/>
              </w:rPr>
            </w:pPr>
            <w:r>
              <w:rPr>
                <w:rFonts w:hint="eastAsia" w:ascii="Times New Roman" w:hAnsi="Times New Roman" w:cs="Times New Roman"/>
                <w:szCs w:val="22"/>
              </w:rPr>
              <w:t>公司执行《应急准备和响应管理程序》，提供有应急设备清单、2020年应急响应预案、相关演练记录、应急预案评审报告等。2020.9.16财务部全体员工参加了公司火灾消防演练。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lang w:val="en-US" w:eastAsia="zh-CN"/>
              </w:rPr>
            </w:pPr>
            <w:r>
              <w:rPr>
                <w:rFonts w:hint="eastAsia" w:cs="Times New Roman"/>
                <w:szCs w:val="22"/>
                <w:lang w:val="en-US" w:eastAsia="zh-CN"/>
              </w:rPr>
              <w:t>详见办公室相关条款记录</w:t>
            </w:r>
          </w:p>
        </w:tc>
        <w:tc>
          <w:tcPr>
            <w:tcW w:w="709" w:type="dxa"/>
          </w:tcPr>
          <w:p>
            <w:pPr>
              <w:rPr>
                <w:szCs w:val="21"/>
              </w:rPr>
            </w:pPr>
          </w:p>
        </w:tc>
      </w:tr>
    </w:tbl>
    <w:p>
      <w:pPr>
        <w:pStyle w:val="8"/>
        <w:rPr>
          <w:rFonts w:ascii="楷体" w:hAnsi="楷体" w:eastAsia="楷体"/>
          <w:sz w:val="21"/>
          <w:szCs w:val="21"/>
        </w:rPr>
      </w:pPr>
    </w:p>
    <w:p>
      <w:pPr>
        <w:pStyle w:val="8"/>
        <w:rPr>
          <w:rFonts w:ascii="楷体" w:hAnsi="楷体" w:eastAsia="楷体"/>
          <w:sz w:val="21"/>
          <w:szCs w:val="21"/>
        </w:rPr>
      </w:pPr>
    </w:p>
    <w:tbl>
      <w:tblPr>
        <w:tblStyle w:val="11"/>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79"/>
        <w:gridCol w:w="114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szCs w:val="21"/>
              </w:rPr>
            </w:pPr>
            <w:r>
              <w:rPr>
                <w:szCs w:val="21"/>
              </w:rPr>
              <w:t>过程与活动、</w:t>
            </w:r>
          </w:p>
          <w:p>
            <w:pPr>
              <w:jc w:val="center"/>
              <w:rPr>
                <w:szCs w:val="21"/>
              </w:rPr>
            </w:pPr>
            <w:r>
              <w:rPr>
                <w:szCs w:val="21"/>
              </w:rPr>
              <w:t>抽样计划</w:t>
            </w:r>
          </w:p>
        </w:tc>
        <w:tc>
          <w:tcPr>
            <w:tcW w:w="879" w:type="dxa"/>
            <w:vMerge w:val="restart"/>
            <w:vAlign w:val="center"/>
          </w:tcPr>
          <w:p>
            <w:pPr>
              <w:rPr>
                <w:szCs w:val="21"/>
              </w:rPr>
            </w:pPr>
            <w:r>
              <w:rPr>
                <w:szCs w:val="21"/>
              </w:rPr>
              <w:t>涉及</w:t>
            </w:r>
          </w:p>
          <w:p>
            <w:pPr>
              <w:rPr>
                <w:szCs w:val="21"/>
              </w:rPr>
            </w:pPr>
            <w:r>
              <w:rPr>
                <w:szCs w:val="21"/>
              </w:rPr>
              <w:t>条款</w:t>
            </w:r>
          </w:p>
        </w:tc>
        <w:tc>
          <w:tcPr>
            <w:tcW w:w="11480" w:type="dxa"/>
            <w:vAlign w:val="center"/>
          </w:tcPr>
          <w:p>
            <w:pPr>
              <w:rPr>
                <w:rFonts w:hint="eastAsia" w:eastAsia="宋体"/>
                <w:szCs w:val="21"/>
                <w:lang w:val="en-US" w:eastAsia="zh-CN"/>
              </w:rPr>
            </w:pPr>
            <w:r>
              <w:rPr>
                <w:szCs w:val="21"/>
              </w:rPr>
              <w:t>受审核部门：</w:t>
            </w:r>
            <w:r>
              <w:rPr>
                <w:rFonts w:hint="eastAsia"/>
                <w:szCs w:val="21"/>
              </w:rPr>
              <w:t>销售部</w:t>
            </w:r>
            <w:r>
              <w:rPr>
                <w:szCs w:val="21"/>
              </w:rPr>
              <w:t xml:space="preserve">        主管领导：</w:t>
            </w:r>
            <w:r>
              <w:rPr>
                <w:rFonts w:hint="eastAsia"/>
                <w:szCs w:val="21"/>
                <w:lang w:val="en-US" w:eastAsia="zh-CN"/>
              </w:rPr>
              <w:t>吴俊</w:t>
            </w:r>
          </w:p>
        </w:tc>
        <w:tc>
          <w:tcPr>
            <w:tcW w:w="709" w:type="dxa"/>
            <w:vMerge w:val="restart"/>
            <w:vAlign w:val="center"/>
          </w:tcPr>
          <w:p>
            <w:pPr>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szCs w:val="21"/>
              </w:rPr>
            </w:pPr>
          </w:p>
        </w:tc>
        <w:tc>
          <w:tcPr>
            <w:tcW w:w="879" w:type="dxa"/>
            <w:vMerge w:val="continue"/>
            <w:vAlign w:val="center"/>
          </w:tcPr>
          <w:p>
            <w:pPr>
              <w:rPr>
                <w:szCs w:val="21"/>
              </w:rPr>
            </w:pPr>
          </w:p>
        </w:tc>
        <w:tc>
          <w:tcPr>
            <w:tcW w:w="11480" w:type="dxa"/>
            <w:vAlign w:val="center"/>
          </w:tcPr>
          <w:p>
            <w:pPr>
              <w:spacing w:before="120"/>
              <w:rPr>
                <w:rFonts w:hint="eastAsia" w:eastAsia="宋体"/>
                <w:szCs w:val="21"/>
                <w:lang w:eastAsia="zh-CN"/>
              </w:rPr>
            </w:pPr>
            <w:r>
              <w:rPr>
                <w:szCs w:val="21"/>
              </w:rPr>
              <w:t>审核员：</w:t>
            </w:r>
            <w:r>
              <w:rPr>
                <w:rFonts w:hint="eastAsia"/>
                <w:szCs w:val="21"/>
              </w:rPr>
              <w:t>李蒙生</w:t>
            </w:r>
            <w:r>
              <w:rPr>
                <w:szCs w:val="21"/>
              </w:rPr>
              <w:t xml:space="preserve">                审核时间：2020</w:t>
            </w:r>
            <w:r>
              <w:rPr>
                <w:rFonts w:hint="eastAsia"/>
                <w:szCs w:val="21"/>
              </w:rPr>
              <w:t>.11.1</w:t>
            </w:r>
            <w:r>
              <w:rPr>
                <w:rFonts w:hint="eastAsia"/>
                <w:szCs w:val="21"/>
                <w:lang w:val="en-US" w:eastAsia="zh-CN"/>
              </w:rPr>
              <w:t>3</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szCs w:val="21"/>
              </w:rPr>
            </w:pPr>
          </w:p>
        </w:tc>
        <w:tc>
          <w:tcPr>
            <w:tcW w:w="879" w:type="dxa"/>
            <w:vMerge w:val="continue"/>
            <w:vAlign w:val="center"/>
          </w:tcPr>
          <w:p>
            <w:pPr>
              <w:rPr>
                <w:szCs w:val="21"/>
              </w:rPr>
            </w:pPr>
          </w:p>
        </w:tc>
        <w:tc>
          <w:tcPr>
            <w:tcW w:w="11480" w:type="dxa"/>
            <w:vAlign w:val="center"/>
          </w:tcPr>
          <w:p>
            <w:pPr>
              <w:rPr>
                <w:szCs w:val="21"/>
              </w:rPr>
            </w:pPr>
            <w:r>
              <w:rPr>
                <w:szCs w:val="21"/>
              </w:rPr>
              <w:t>审核条款：</w:t>
            </w:r>
            <w:r>
              <w:rPr>
                <w:rFonts w:hint="eastAsia"/>
                <w:sz w:val="21"/>
                <w:szCs w:val="21"/>
              </w:rPr>
              <w:t>Q5.3/6.2</w:t>
            </w:r>
            <w:r>
              <w:rPr>
                <w:rFonts w:hint="eastAsia"/>
                <w:sz w:val="21"/>
                <w:szCs w:val="21"/>
                <w:lang w:val="en-US" w:eastAsia="zh-CN"/>
              </w:rPr>
              <w:t>/</w:t>
            </w:r>
            <w:r>
              <w:rPr>
                <w:rFonts w:hint="eastAsia"/>
                <w:sz w:val="21"/>
                <w:szCs w:val="21"/>
              </w:rPr>
              <w:t>8.</w:t>
            </w:r>
            <w:r>
              <w:rPr>
                <w:rFonts w:hint="eastAsia"/>
                <w:sz w:val="21"/>
                <w:szCs w:val="21"/>
                <w:lang w:val="en-US" w:eastAsia="zh-CN"/>
              </w:rPr>
              <w:t>2</w:t>
            </w:r>
            <w:r>
              <w:rPr>
                <w:rFonts w:hint="eastAsia"/>
                <w:sz w:val="21"/>
                <w:szCs w:val="21"/>
              </w:rPr>
              <w:t>/8.</w:t>
            </w:r>
            <w:r>
              <w:rPr>
                <w:rFonts w:hint="eastAsia"/>
                <w:sz w:val="21"/>
                <w:szCs w:val="21"/>
                <w:lang w:val="en-US" w:eastAsia="zh-CN"/>
              </w:rPr>
              <w:t>4</w:t>
            </w:r>
            <w:r>
              <w:rPr>
                <w:rFonts w:hint="eastAsia"/>
                <w:sz w:val="21"/>
                <w:szCs w:val="21"/>
              </w:rPr>
              <w:t>/8.5.</w:t>
            </w:r>
            <w:r>
              <w:rPr>
                <w:rFonts w:hint="eastAsia"/>
                <w:sz w:val="21"/>
                <w:szCs w:val="21"/>
                <w:lang w:val="en-US" w:eastAsia="zh-CN"/>
              </w:rPr>
              <w:t>3</w:t>
            </w:r>
            <w:r>
              <w:rPr>
                <w:rFonts w:hint="eastAsia"/>
                <w:sz w:val="21"/>
                <w:szCs w:val="21"/>
              </w:rPr>
              <w:t>/8.5.</w:t>
            </w:r>
            <w:r>
              <w:rPr>
                <w:rFonts w:hint="eastAsia"/>
                <w:sz w:val="21"/>
                <w:szCs w:val="21"/>
                <w:lang w:val="en-US" w:eastAsia="zh-CN"/>
              </w:rPr>
              <w:t>5</w:t>
            </w:r>
            <w:r>
              <w:rPr>
                <w:rFonts w:hint="eastAsia"/>
                <w:sz w:val="21"/>
                <w:szCs w:val="21"/>
              </w:rPr>
              <w:t>/9.1.2</w:t>
            </w:r>
            <w:r>
              <w:rPr>
                <w:rFonts w:hint="eastAsia"/>
                <w:sz w:val="21"/>
                <w:szCs w:val="21"/>
                <w:lang w:eastAsia="zh-CN"/>
              </w:rPr>
              <w:t>；</w:t>
            </w:r>
            <w:r>
              <w:rPr>
                <w:rFonts w:hint="eastAsia"/>
                <w:sz w:val="21"/>
                <w:szCs w:val="21"/>
                <w:lang w:val="en-US" w:eastAsia="zh-CN"/>
              </w:rPr>
              <w:t>O</w:t>
            </w:r>
            <w:r>
              <w:rPr>
                <w:rFonts w:hint="eastAsia"/>
                <w:sz w:val="21"/>
                <w:szCs w:val="21"/>
              </w:rPr>
              <w:t>5.3/6.1.2/6.2/8.1/8.2</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组织的岗位、职责和权限</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QO5.3</w:t>
            </w:r>
          </w:p>
          <w:p>
            <w:pPr>
              <w:spacing w:line="360" w:lineRule="auto"/>
              <w:rPr>
                <w:rFonts w:hint="eastAsia" w:ascii="Times New Roman" w:hAnsi="Times New Roman" w:cs="Times New Roman"/>
                <w:szCs w:val="22"/>
              </w:rPr>
            </w:pP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lang w:val="en-US" w:eastAsia="zh-CN"/>
              </w:rPr>
            </w:pPr>
            <w:r>
              <w:rPr>
                <w:rFonts w:hint="eastAsia" w:ascii="Times New Roman" w:hAnsi="Times New Roman" w:cs="Times New Roman"/>
                <w:szCs w:val="22"/>
              </w:rPr>
              <w:t>部门负责人：</w:t>
            </w:r>
            <w:r>
              <w:rPr>
                <w:rFonts w:hint="eastAsia" w:ascii="Times New Roman" w:hAnsi="Times New Roman" w:cs="Times New Roman"/>
                <w:szCs w:val="22"/>
                <w:lang w:val="en-US" w:eastAsia="zh-CN"/>
              </w:rPr>
              <w:t>吴俊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部门职责：a) 贯彻执行国家和上级有关法律法规，负责公司业务拓展；b) 负责合同评审相关工作。C）负责客户满意度调查。 d) 负责职责范围内质量、职业健康安全法律法规及其它相关要求的收集、识别；e) 负责职责范围内的内、外部信息的交流、传递和处理工作；f) 负责本部门职业健康安全风险因素的控制，组织对体系中的不符合进行整改；g) 组织对本部门员工进行健康安全意识教育和业务培训；负责本部门相关文件的编写、修订和文件、记录的管理；h) 对质量、职业健康安全管理体系提出改进建议。I）与顾客联系并向其提供服务，负责顾客财产的管理；</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危险源识别及风险和机遇的评价</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O6.1.2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销售部对危险源进行了识别</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主要危险点为电器、办公设备；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危险源及伤害类别：设备绝缘失灵、电线电缆老化等致人触电；电器设备老化、过载导致潜在火灾；意外伤害；传染病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通过LEC评价法进行风险评价，上述危险源无重大危险源，为低度风险及中度风险。</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目标和实现的策划</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Q6.2</w:t>
            </w:r>
          </w:p>
          <w:p>
            <w:pPr>
              <w:spacing w:line="360" w:lineRule="auto"/>
              <w:rPr>
                <w:rFonts w:hint="eastAsia" w:ascii="Times New Roman" w:hAnsi="Times New Roman" w:cs="Times New Roman"/>
                <w:szCs w:val="22"/>
              </w:rPr>
            </w:pPr>
            <w:r>
              <w:rPr>
                <w:rFonts w:hint="eastAsia" w:ascii="Times New Roman" w:hAnsi="Times New Roman" w:cs="Times New Roman"/>
                <w:szCs w:val="22"/>
              </w:rPr>
              <w:t>O6.2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销售部目标为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顾客满意度≥95%；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控制年工伤事故为≤3人次；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火灾事故为0；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合同履行率100%。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查看公司《目标分解表》，该部门目标均已完成。</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产品和服务要求</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Q8.2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公司确定与顾客沟通的内容：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a)销售合同签订期的沟通：由销售部负责与顾客建立沟通，以合同予以证实；合同更改，由销售部负责与顾客沟通、确定，以补充合同协议、会议纪要，予以证实。</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b)合同工实施期的沟通：由销售部负责与顾客沟通，一般通过邮件、信函方式进行，以会议纪要、设计变更单、送货单等予以证实。</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c)顾客的投诉或顾客抱怨：由销售部组织相关部门负责与顾客沟通，通过座谈、交换意见等形式进行，以回访保修记录予以证实。</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d)与顾客的沟通将收集到顾客的意见或满意与否的评价，这些将作为顾客满意程度评价的重要输入。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e) 对于顾客的知识产权，如核心技术资料，专利技术，管理诀窍或商业机密(包括顾客的个人信息)等，需进行保密控制，未经顾客允许，不得向外界泄露。</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公司编制《与顾客有关过程的管理程序》，内容包含顾客产品要求的识别、顾客产品要求的评审、顾客产品要求的确定、合同或订单的修订和改进等内容。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查看公司以下合同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——签约时间：2020年11月03日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需方：嘉兴市伟通塑业有限公司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供方：嘉兴正通塑业科技有限公司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产品名称         规格型号    单位      数量      价格（元）   金额（元）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PVC-UH给水管                米      17450       31.3       542695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MPP电力通信管                米     12700        21        266700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质量要求：根据企业标准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运输方式及费用承担：需方自提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同时，该合同还对验收办法、标的物所有权、违约责任、解决合同纠纷的方法、结算程序、产品质量责任、付款方式、货物切货、合同生效日及有效期等关键条款进行了确定。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——签约时间：2020年10月20日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需方：嘉兴林鑫管业科技股份有限公司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供方：嘉兴正通塑业课科技有限公司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产品名称         规格型号    单位      数量      价格（元）   金额（元）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PVC-UH给水管               米      15000        31.1        466500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MPP电力通信管               米      25000         21         525000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PE给水管                     米      12530         17.2       215516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PE燃气管                     米      10750         17.2       184900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PE管件                       米      11050         17.2       190060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MPP电力通信管                 米     12700        21        266700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质量要求：根据企业标准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运输方式及费用承担：需方自提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同时，该合同还对验收办法、标的物所有权、违约责任、解决合同纠纷的方法、结算程序、产品质量责任、付款方式、货物切货、合同生效日及有效期等关键条款进行了确定。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——签约时间：2020年10月28日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需方：嘉兴市隆祥装饰工程有限公司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供方：嘉兴正通塑业科技有限公司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产品名称         规格型号    单位      数量      价格（元）   金额（元）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PE通信管         102*6mm     米       20000      17.2         344000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质量要求：根据企业标准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运输方式及费用承担：需方自提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同时，该合同还对验收办法、标的物所有权、违约责任、解决合同纠纷的方法、结算程序、产品质量责任、付款方式、货物切货、合同生效日及有效期等关键条款进行了确定。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查上述合同的《评审记录表》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评审时间分别是：2020.11.2；2020.10.19；2020.10.27；时间均在签订合同之前；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评审内容包括：合同条款是否符合有关法律法规、履行合同时企业的利益和风险如何、合同条款是否有含糊不清之处、技术、供应等能否满足需要、有无特殊要求、交货期限能否满足、交货方式是否合适、价格是否合理、付款期限是否适当、有无质量保证要求、供应物资名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评审人意见：同意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公司目前暂无合同更改情况</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运行控制</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O8.1</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lang w:val="en-GB" w:eastAsia="zh-CN"/>
              </w:rPr>
            </w:pPr>
            <w:r>
              <w:rPr>
                <w:rFonts w:hint="eastAsia" w:ascii="Times New Roman" w:hAnsi="Times New Roman" w:cs="Times New Roman"/>
                <w:szCs w:val="22"/>
                <w:lang w:val="en-GB" w:eastAsia="zh-CN"/>
              </w:rPr>
              <w:t>运行控制情况：办公过程注意节约用电，做到人走灯灭，电脑长时间不用时关机，下班前要关闭电源；</w:t>
            </w:r>
            <w:r>
              <w:rPr>
                <w:rFonts w:hint="eastAsia" w:ascii="Times New Roman" w:hAnsi="Times New Roman" w:cs="Times New Roman"/>
                <w:szCs w:val="22"/>
              </w:rPr>
              <w:t>办公过程使用的电器如：空调、电脑、灯具均符合安全设计要求，使用过程注意安全，预防触电</w:t>
            </w:r>
            <w:r>
              <w:rPr>
                <w:rFonts w:hint="eastAsia" w:ascii="Times New Roman" w:hAnsi="Times New Roman" w:cs="Times New Roman"/>
                <w:szCs w:val="22"/>
                <w:lang w:eastAsia="zh-CN"/>
              </w:rPr>
              <w:t>，</w:t>
            </w:r>
            <w:r>
              <w:rPr>
                <w:rFonts w:hint="eastAsia" w:ascii="Times New Roman" w:hAnsi="Times New Roman" w:cs="Times New Roman"/>
                <w:szCs w:val="22"/>
              </w:rPr>
              <w:t>工作时间平均每天8小时；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公司定期对办公区环境安全进行检查，公司固废分类合理排放政治，消防安全装置配置齐全、现场卫生干净整洁、电气线路无漏线、空调使用无缺弗正常使用。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为员工配备了安全防护设施—提供《劳保用品发放记录》</w:t>
            </w:r>
            <w:r>
              <w:rPr>
                <w:rFonts w:hint="eastAsia" w:ascii="Times New Roman" w:hAnsi="Times New Roman" w:cs="Times New Roman"/>
                <w:szCs w:val="22"/>
                <w:lang w:eastAsia="zh-CN"/>
              </w:rPr>
              <w:t>，</w:t>
            </w:r>
            <w:r>
              <w:rPr>
                <w:rFonts w:hint="eastAsia" w:ascii="Times New Roman" w:hAnsi="Times New Roman" w:cs="Times New Roman"/>
                <w:szCs w:val="22"/>
              </w:rPr>
              <w:t>主要劳保用品为：</w:t>
            </w:r>
            <w:r>
              <w:rPr>
                <w:rFonts w:hint="eastAsia" w:ascii="Times New Roman" w:hAnsi="Times New Roman" w:cs="Times New Roman"/>
                <w:szCs w:val="22"/>
                <w:lang w:val="en-US" w:eastAsia="zh-CN"/>
              </w:rPr>
              <w:t>工作服、手套、口罩、酒精消毒液、测温枪等</w:t>
            </w:r>
            <w:r>
              <w:rPr>
                <w:rFonts w:hint="eastAsia" w:ascii="Times New Roman" w:hAnsi="Times New Roman" w:cs="Times New Roman"/>
                <w:szCs w:val="22"/>
              </w:rPr>
              <w:t>，记录了发放时间、领用人等</w:t>
            </w:r>
            <w:r>
              <w:rPr>
                <w:rFonts w:hint="eastAsia" w:ascii="Times New Roman" w:hAnsi="Times New Roman" w:cs="Times New Roman"/>
                <w:szCs w:val="2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lang w:val="en-GB" w:eastAsia="zh-CN"/>
              </w:rPr>
              <w:t>相关方施加影响：公司</w:t>
            </w:r>
            <w:r>
              <w:rPr>
                <w:rFonts w:hint="eastAsia" w:ascii="Times New Roman" w:hAnsi="Times New Roman" w:cs="Times New Roman"/>
                <w:szCs w:val="22"/>
                <w:lang w:val="en-US" w:eastAsia="zh-CN"/>
              </w:rPr>
              <w:t>对</w:t>
            </w:r>
            <w:r>
              <w:rPr>
                <w:rFonts w:hint="eastAsia" w:ascii="Times New Roman" w:hAnsi="Times New Roman" w:cs="Times New Roman"/>
                <w:szCs w:val="22"/>
                <w:lang w:val="en-GB" w:eastAsia="zh-CN"/>
              </w:rPr>
              <w:t>相关方能够施加影响。提供了“致相关方的公开信”，将公司关于采购物资、固体废弃物处理等方面环境控制要求发放到了</w:t>
            </w:r>
            <w:r>
              <w:rPr>
                <w:rFonts w:hint="eastAsia" w:ascii="Times New Roman" w:hAnsi="Times New Roman" w:cs="Times New Roman"/>
                <w:szCs w:val="22"/>
                <w:lang w:val="en-US" w:eastAsia="zh-CN"/>
              </w:rPr>
              <w:t>相关方</w:t>
            </w:r>
            <w:r>
              <w:rPr>
                <w:rFonts w:hint="eastAsia" w:ascii="Times New Roman" w:hAnsi="Times New Roman" w:cs="Times New Roman"/>
                <w:szCs w:val="22"/>
                <w:lang w:val="en-GB" w:eastAsia="zh-CN"/>
              </w:rPr>
              <w:t>，督促影响各相关方按照环境管理体系要求对环境施加影响。</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应急准备和响应</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O8.2</w:t>
            </w:r>
          </w:p>
        </w:tc>
        <w:tc>
          <w:tcPr>
            <w:tcW w:w="11480" w:type="dxa"/>
          </w:tcPr>
          <w:p>
            <w:pPr>
              <w:pStyle w:val="2"/>
              <w:rPr>
                <w:rFonts w:hint="eastAsia"/>
                <w:lang w:val="en-US" w:eastAsia="zh-CN"/>
              </w:rPr>
            </w:pPr>
            <w:r>
              <w:rPr>
                <w:rFonts w:hint="eastAsia"/>
                <w:lang w:val="en-US" w:eastAsia="zh-CN"/>
              </w:rPr>
              <w:t>公司执行《应急准备和响应管理程序》，提供有应急设备清单、2020年应急响应预案、相关演练记录、应急预案评审报告等。</w:t>
            </w:r>
          </w:p>
          <w:p>
            <w:pPr>
              <w:pStyle w:val="2"/>
              <w:rPr>
                <w:rFonts w:hint="default"/>
                <w:lang w:val="en-US" w:eastAsia="zh-CN"/>
              </w:rPr>
            </w:pPr>
            <w:r>
              <w:rPr>
                <w:rFonts w:hint="eastAsia"/>
                <w:lang w:val="en-US" w:eastAsia="zh-CN"/>
              </w:rPr>
              <w:t>2020.9.16销售部全体员工参加了公司火灾消防演练。</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外部提供的过程、产品和服务的控制</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Q8.4</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公司建立有效的采购控制体系，明确规定采购控制的程序以确保采购的产品和服务符合规定的质量要求。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公司编制了《采购管理程序》，对由外部提供的产品、过程或服务进行控制，确保其符合要求。内容包括：供方（含外包方）的评定与选择、采购控制、采购产品的验证等。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公司提供《合格供方名录》，项目包含供方名称、地址、提供产品、生产厂家、2020年度评价结果等内容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抽查采购合同1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供方：上海四联飞扬化工新材料有限公司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需方：嘉兴正通塑业科技有限公司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签订日期：2020年10月9日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产品基本情况：有产品名称：HDPE，及产品有关的规定型号、数量、单价、金额等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同时还包含交货约定、质量约定及收货确认、货物毁损/灭失风险、中途退货、付款方式等9项条款。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抽查采购合同2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供方：嘉兴市新涌塑化有限公司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需方：嘉兴正通塑业科技有限公司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签订时间：2020年10月13日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产品情况：有产品名称：聚氯乙烯，及产品规格型号、计量单位、数量、单价、金额等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同时还包含产品执行标准、产品交货方式地点、结算方式、违约责任等10项条款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抽查采购合同3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签订时间：2020年10月31日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供方：浙江传化华洋化工有限公司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需方：嘉兴正通塑业科技有限公司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产品信息：有产品名称：符合稳定剂，及商标、规格型号、生产厂家、计量单位、数量、单价、总计等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同时还包含质量要求、技术标准、供方对质量负责的条件；交（提）货地点、方式；运输方式及到达站港的费用负担、；验收标准、方法及提出异议期限；货款结算方式及期限、违约责任等12项条款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看《供方评价记录表》，对上述合同中供方进行合格评价，内容包含质量管理体系认证情况、生产能力和供应能力情况、历史及社会信誉情况、质量及以往使用情况。评审结论：列为合格供方名录。评价时间均为：2020.7.18</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顾客或外部供方财产</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Q8.5.3</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公司编制了《顾客或外部供方管理程序》，本程序适用于顾客按合同要求所提供的产品（包括原材料、技术资料及来料维修等）进行管理和控制。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查公司《顾客或外部供方财产清单》，本公司目前无顾客或外部供方财产。</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交付后活动</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Q8.5.5</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每季一次在现场对客户进行随机调查，每次内部审核前通过各种途径对买方进行调查，向顾客了解其对本公司提供产品和服务的满意度</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顾客满意</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Q9.1.2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公司制定《顾客满意度监视和测量管理程序》，规定了顾客满意度测量的频率和方法、顾客满意度测量的内容和标准。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提供有《2020年顾客满意度材料》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抽查顾客满意程度调查表，编号：ZTSY-JL-46 NO.1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顾客名称：嘉兴市隆祥装饰工程有限公司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地址：浙江省嘉兴市由拳路,秦逸路口华隆广场1幢605室</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产品服务内容：PE通信管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对本公司服务的满意程度：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产品质量：满意（  96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交期：满意（ 96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售后服务：满意（  97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价格：一般（  96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 xml:space="preserve">产品防护：满意（  96  ）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其他意见、要求或建议：无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查《顾客满意程度统计分析表》，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内容包含：序号，顾客名称、调查表需要、顾客满意程度（产品质量、交期、售后服务、价格、产品防护）、总分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顾客评价情况及原因分析：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顾客满意度已达到目标值的要求，但顾客普遍对价格反映一般，公司应从原材料采购，生产过程控制，节能降耗等多方面深挖潜力，努力降低成本，以进一步满足顾客要求。</w:t>
            </w:r>
          </w:p>
        </w:tc>
        <w:tc>
          <w:tcPr>
            <w:tcW w:w="709" w:type="dxa"/>
          </w:tcPr>
          <w:p>
            <w:pPr>
              <w:rPr>
                <w:szCs w:val="21"/>
              </w:rPr>
            </w:pPr>
          </w:p>
        </w:tc>
      </w:tr>
    </w:tbl>
    <w:p>
      <w:pPr>
        <w:pStyle w:val="8"/>
        <w:rPr>
          <w:rFonts w:ascii="楷体" w:hAnsi="楷体" w:eastAsia="楷体"/>
          <w:sz w:val="21"/>
          <w:szCs w:val="21"/>
        </w:rPr>
      </w:pPr>
    </w:p>
    <w:p>
      <w:pPr>
        <w:pStyle w:val="8"/>
        <w:rPr>
          <w:rFonts w:ascii="楷体" w:hAnsi="楷体" w:eastAsia="楷体"/>
          <w:sz w:val="21"/>
          <w:szCs w:val="21"/>
        </w:rPr>
      </w:pPr>
    </w:p>
    <w:tbl>
      <w:tblPr>
        <w:tblStyle w:val="11"/>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79"/>
        <w:gridCol w:w="114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szCs w:val="21"/>
              </w:rPr>
            </w:pPr>
            <w:r>
              <w:rPr>
                <w:szCs w:val="21"/>
              </w:rPr>
              <w:t>过程与活动、</w:t>
            </w:r>
          </w:p>
          <w:p>
            <w:pPr>
              <w:jc w:val="center"/>
              <w:rPr>
                <w:szCs w:val="21"/>
              </w:rPr>
            </w:pPr>
            <w:r>
              <w:rPr>
                <w:szCs w:val="21"/>
              </w:rPr>
              <w:t>抽样计划</w:t>
            </w:r>
          </w:p>
        </w:tc>
        <w:tc>
          <w:tcPr>
            <w:tcW w:w="879" w:type="dxa"/>
            <w:vMerge w:val="restart"/>
            <w:vAlign w:val="center"/>
          </w:tcPr>
          <w:p>
            <w:pPr>
              <w:rPr>
                <w:szCs w:val="21"/>
              </w:rPr>
            </w:pPr>
            <w:r>
              <w:rPr>
                <w:szCs w:val="21"/>
              </w:rPr>
              <w:t>涉及</w:t>
            </w:r>
          </w:p>
          <w:p>
            <w:pPr>
              <w:rPr>
                <w:szCs w:val="21"/>
              </w:rPr>
            </w:pPr>
            <w:r>
              <w:rPr>
                <w:szCs w:val="21"/>
              </w:rPr>
              <w:t>条款</w:t>
            </w:r>
          </w:p>
        </w:tc>
        <w:tc>
          <w:tcPr>
            <w:tcW w:w="11480" w:type="dxa"/>
            <w:vAlign w:val="center"/>
          </w:tcPr>
          <w:p>
            <w:pPr>
              <w:rPr>
                <w:rFonts w:hint="eastAsia" w:eastAsia="宋体"/>
                <w:szCs w:val="21"/>
                <w:lang w:val="en-US" w:eastAsia="zh-CN"/>
              </w:rPr>
            </w:pPr>
            <w:r>
              <w:rPr>
                <w:szCs w:val="21"/>
              </w:rPr>
              <w:t>受审核部门：</w:t>
            </w:r>
            <w:r>
              <w:rPr>
                <w:rFonts w:hint="eastAsia"/>
                <w:szCs w:val="21"/>
              </w:rPr>
              <w:t>办公室</w:t>
            </w:r>
            <w:r>
              <w:rPr>
                <w:szCs w:val="21"/>
              </w:rPr>
              <w:t xml:space="preserve">       主管领导：</w:t>
            </w:r>
            <w:r>
              <w:rPr>
                <w:rFonts w:hint="eastAsia"/>
                <w:szCs w:val="21"/>
                <w:lang w:val="en-US" w:eastAsia="zh-CN"/>
              </w:rPr>
              <w:t>吴俊</w:t>
            </w:r>
          </w:p>
        </w:tc>
        <w:tc>
          <w:tcPr>
            <w:tcW w:w="709" w:type="dxa"/>
            <w:vMerge w:val="restart"/>
            <w:vAlign w:val="center"/>
          </w:tcPr>
          <w:p>
            <w:pPr>
              <w:rPr>
                <w:szCs w:val="21"/>
              </w:rPr>
            </w:pPr>
            <w:r>
              <w:rPr>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szCs w:val="21"/>
              </w:rPr>
            </w:pPr>
          </w:p>
        </w:tc>
        <w:tc>
          <w:tcPr>
            <w:tcW w:w="879" w:type="dxa"/>
            <w:vMerge w:val="continue"/>
            <w:vAlign w:val="center"/>
          </w:tcPr>
          <w:p>
            <w:pPr>
              <w:rPr>
                <w:szCs w:val="21"/>
              </w:rPr>
            </w:pPr>
          </w:p>
        </w:tc>
        <w:tc>
          <w:tcPr>
            <w:tcW w:w="11480" w:type="dxa"/>
            <w:vAlign w:val="center"/>
          </w:tcPr>
          <w:p>
            <w:pPr>
              <w:spacing w:before="120"/>
              <w:rPr>
                <w:rFonts w:hint="eastAsia" w:eastAsia="宋体"/>
                <w:szCs w:val="21"/>
                <w:lang w:eastAsia="zh-CN"/>
              </w:rPr>
            </w:pPr>
            <w:r>
              <w:rPr>
                <w:szCs w:val="21"/>
              </w:rPr>
              <w:t>审核员：</w:t>
            </w:r>
            <w:r>
              <w:rPr>
                <w:rFonts w:hint="eastAsia"/>
                <w:szCs w:val="21"/>
              </w:rPr>
              <w:t>李蒙生</w:t>
            </w:r>
            <w:r>
              <w:rPr>
                <w:szCs w:val="21"/>
              </w:rPr>
              <w:t xml:space="preserve">                审核时间：2020</w:t>
            </w:r>
            <w:r>
              <w:rPr>
                <w:rFonts w:hint="eastAsia"/>
                <w:szCs w:val="21"/>
              </w:rPr>
              <w:t>.11.1</w:t>
            </w:r>
            <w:r>
              <w:rPr>
                <w:rFonts w:hint="eastAsia"/>
                <w:szCs w:val="21"/>
                <w:lang w:val="en-US" w:eastAsia="zh-CN"/>
              </w:rPr>
              <w:t>3</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szCs w:val="21"/>
              </w:rPr>
            </w:pPr>
          </w:p>
        </w:tc>
        <w:tc>
          <w:tcPr>
            <w:tcW w:w="879" w:type="dxa"/>
            <w:vMerge w:val="continue"/>
            <w:vAlign w:val="center"/>
          </w:tcPr>
          <w:p>
            <w:pPr>
              <w:rPr>
                <w:szCs w:val="21"/>
              </w:rPr>
            </w:pPr>
          </w:p>
        </w:tc>
        <w:tc>
          <w:tcPr>
            <w:tcW w:w="11480" w:type="dxa"/>
            <w:vAlign w:val="center"/>
          </w:tcPr>
          <w:p>
            <w:pPr>
              <w:keepNext w:val="0"/>
              <w:keepLines w:val="0"/>
              <w:pageBreakBefore w:val="0"/>
              <w:widowControl w:val="0"/>
              <w:kinsoku/>
              <w:wordWrap/>
              <w:overflowPunct/>
              <w:topLinePunct w:val="0"/>
              <w:autoSpaceDE/>
              <w:autoSpaceDN/>
              <w:bidi w:val="0"/>
              <w:spacing w:line="260" w:lineRule="exact"/>
              <w:textAlignment w:val="auto"/>
              <w:rPr>
                <w:szCs w:val="21"/>
              </w:rPr>
            </w:pPr>
            <w:r>
              <w:rPr>
                <w:szCs w:val="21"/>
              </w:rPr>
              <w:t>审核条款：</w:t>
            </w:r>
            <w:r>
              <w:rPr>
                <w:rFonts w:hint="eastAsia" w:ascii="Times New Roman" w:hAnsi="Times New Roman" w:cs="Times New Roman"/>
                <w:sz w:val="21"/>
                <w:szCs w:val="21"/>
                <w:lang w:val="en-US" w:eastAsia="zh-CN"/>
              </w:rPr>
              <w:t>Q7.1.2/7.1.6/</w:t>
            </w:r>
            <w:r>
              <w:rPr>
                <w:rFonts w:hint="default" w:ascii="Times New Roman" w:hAnsi="Times New Roman" w:cs="Times New Roman"/>
                <w:sz w:val="21"/>
                <w:szCs w:val="21"/>
                <w:lang w:val="en-US" w:eastAsia="zh-CN"/>
              </w:rPr>
              <w:t>7.2/7.3/7.4/7.5/</w:t>
            </w:r>
            <w:r>
              <w:rPr>
                <w:rFonts w:hint="eastAsia" w:ascii="Times New Roman" w:hAnsi="Times New Roman" w:cs="Times New Roman"/>
                <w:sz w:val="21"/>
                <w:szCs w:val="21"/>
                <w:lang w:val="en-US" w:eastAsia="zh-CN"/>
              </w:rPr>
              <w:t>9.2/10.2；O5.4/</w:t>
            </w:r>
            <w:r>
              <w:rPr>
                <w:rFonts w:hint="default" w:ascii="Times New Roman" w:hAnsi="Times New Roman" w:cs="Times New Roman"/>
                <w:sz w:val="21"/>
                <w:szCs w:val="21"/>
                <w:lang w:val="en-US" w:eastAsia="zh-CN"/>
              </w:rPr>
              <w:t>7.2/7.3/7.4/7.5/</w:t>
            </w:r>
            <w:r>
              <w:rPr>
                <w:rFonts w:hint="eastAsia" w:ascii="Times New Roman" w:hAnsi="Times New Roman" w:cs="Times New Roman"/>
                <w:sz w:val="21"/>
                <w:szCs w:val="21"/>
                <w:lang w:val="en-US" w:eastAsia="zh-CN"/>
              </w:rPr>
              <w:t>9.2/10.2</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人员、能力</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Q7.1.2</w:t>
            </w:r>
          </w:p>
          <w:p>
            <w:pPr>
              <w:spacing w:line="360" w:lineRule="auto"/>
              <w:rPr>
                <w:rFonts w:hint="eastAsia" w:ascii="Times New Roman" w:hAnsi="Times New Roman" w:cs="Times New Roman"/>
                <w:szCs w:val="22"/>
              </w:rPr>
            </w:pPr>
            <w:r>
              <w:rPr>
                <w:rFonts w:hint="eastAsia" w:ascii="Times New Roman" w:hAnsi="Times New Roman" w:cs="Times New Roman"/>
                <w:szCs w:val="22"/>
              </w:rPr>
              <w:t>QO7.2</w:t>
            </w:r>
          </w:p>
          <w:p>
            <w:pPr>
              <w:spacing w:line="360" w:lineRule="auto"/>
              <w:rPr>
                <w:rFonts w:hint="eastAsia" w:ascii="Times New Roman" w:hAnsi="Times New Roman" w:cs="Times New Roman"/>
                <w:szCs w:val="22"/>
              </w:rPr>
            </w:pP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公司确定体系覆盖45人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公司制定和执行《人力资源管理程序》确保公司人力资源满足岗位能力需求，合理配置，高效利用，以提高工作效率、实现质量和环境业绩为目标。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办公室应根据质量、职业健康安全管理体系各工作岗位、活动及规定的职责，从接受的技能、所接受培训及所取得的岗位资格、能力、工作经历等方面的要求编制了《岗位责任和任职要求》，并按照其要求配置相应的人员，以确保其人员能胜任相应的工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公司通过培训，确保员工的能力得到不断的提升，以适应管理体系持续改进的需要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提供了《2020年度职工培训计划》，培训内容包含企业环境因素、危险源辨识与监控基本知识培训；本公司管理体系文件、管理方针、管理目标和质量意识培训；职业健康教育培训、规章制度、生产安全三级教育；叁标三体系认证基本知识培训；公共卫生事件宣传教育；消防知识、应急措施；内部审核的方案策划、实施，审核技巧和注意事项（内审员培训）等。并对相应培训内容的计划时间、培训对象、施陪单位、培训天数进行了确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查看公司《培训记录》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抽查培训记录1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培训题目：企业环境因素、危险源辨识与监控基本知识培训</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培训时间：2020.7.2</w:t>
            </w:r>
            <w:r>
              <w:rPr>
                <w:rFonts w:hint="eastAsia" w:cs="Times New Roman"/>
                <w:szCs w:val="22"/>
                <w:lang w:val="en-US" w:eastAsia="zh-CN"/>
              </w:rPr>
              <w:t xml:space="preserve"> </w:t>
            </w:r>
            <w:r>
              <w:rPr>
                <w:rFonts w:hint="eastAsia" w:ascii="Times New Roman" w:hAnsi="Times New Roman" w:cs="Times New Roman"/>
                <w:szCs w:val="22"/>
              </w:rPr>
              <w:t>培训老师：孙如明</w:t>
            </w:r>
            <w:r>
              <w:rPr>
                <w:rFonts w:hint="eastAsia" w:cs="Times New Roman"/>
                <w:szCs w:val="22"/>
                <w:lang w:val="en-US" w:eastAsia="zh-CN"/>
              </w:rPr>
              <w:t xml:space="preserve"> </w:t>
            </w:r>
            <w:r>
              <w:rPr>
                <w:rFonts w:hint="eastAsia" w:ascii="Times New Roman" w:hAnsi="Times New Roman" w:cs="Times New Roman"/>
                <w:szCs w:val="22"/>
              </w:rPr>
              <w:t>培训方式：讲授、讨论、演练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参加培训人员：孙如明 熊延亮 吴俊 钱亚萍 周志兵 马叶军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培训内容摘要：学习公司环境因素、危险源的识别方法，及重要环境因素、不可接受风险的计算确认及控制措施的制定。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培训有效性评价：有效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评价部门：办公室    负责人/时间：孙如明/2020.7.20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 xml:space="preserve">抽查培训记录2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培训题目：叁标三体系认证基本知识培训</w:t>
            </w:r>
            <w:r>
              <w:rPr>
                <w:rFonts w:hint="eastAsia" w:cs="Times New Roman"/>
                <w:szCs w:val="22"/>
                <w:lang w:val="en-US" w:eastAsia="zh-CN"/>
              </w:rPr>
              <w:t xml:space="preserve"> </w:t>
            </w:r>
            <w:r>
              <w:rPr>
                <w:rFonts w:hint="eastAsia" w:ascii="Times New Roman" w:hAnsi="Times New Roman" w:cs="Times New Roman"/>
                <w:szCs w:val="22"/>
              </w:rPr>
              <w:t>培训时间：2020.7.24</w:t>
            </w:r>
            <w:r>
              <w:rPr>
                <w:rFonts w:hint="eastAsia" w:cs="Times New Roman"/>
                <w:szCs w:val="22"/>
                <w:lang w:val="en-US" w:eastAsia="zh-CN"/>
              </w:rPr>
              <w:t xml:space="preserve"> </w:t>
            </w:r>
            <w:r>
              <w:rPr>
                <w:rFonts w:hint="eastAsia" w:ascii="Times New Roman" w:hAnsi="Times New Roman" w:cs="Times New Roman"/>
                <w:szCs w:val="22"/>
              </w:rPr>
              <w:t>培训老师：总经理</w:t>
            </w:r>
            <w:r>
              <w:rPr>
                <w:rFonts w:hint="eastAsia" w:cs="Times New Roman"/>
                <w:szCs w:val="22"/>
                <w:lang w:val="en-US" w:eastAsia="zh-CN"/>
              </w:rPr>
              <w:t xml:space="preserve"> </w:t>
            </w:r>
            <w:r>
              <w:rPr>
                <w:rFonts w:hint="eastAsia" w:ascii="Times New Roman" w:hAnsi="Times New Roman" w:cs="Times New Roman"/>
                <w:szCs w:val="22"/>
              </w:rPr>
              <w:t>培训方式：讲授和讨论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参加培训人员：孙如明 熊延亮 吴俊 钱亚萍 周志兵 马叶军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培训内容摘要：1、质量、环境、职业健康安全管理体系建立与认证的意义和重要性；2、质量、环境、职业健康安全管理体系相关的基本术语；3、ISO9001:2015、ISO14001:2015、ISO45001:2018三个标准简要介绍。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培训有效性评价：有效</w:t>
            </w:r>
            <w:r>
              <w:rPr>
                <w:rFonts w:hint="eastAsia" w:cs="Times New Roman"/>
                <w:szCs w:val="22"/>
                <w:lang w:val="en-US" w:eastAsia="zh-CN"/>
              </w:rPr>
              <w:t xml:space="preserve">  </w:t>
            </w:r>
            <w:r>
              <w:rPr>
                <w:rFonts w:hint="eastAsia" w:ascii="Times New Roman" w:hAnsi="Times New Roman" w:cs="Times New Roman"/>
                <w:szCs w:val="22"/>
              </w:rPr>
              <w:t>评价部门：办公室    负责人/时间：孙如明/2020.7.24</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抽查培训记录3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培训题目：公共卫生事件宣传教育</w:t>
            </w:r>
            <w:r>
              <w:rPr>
                <w:rFonts w:hint="eastAsia" w:cs="Times New Roman"/>
                <w:szCs w:val="22"/>
                <w:lang w:val="en-US" w:eastAsia="zh-CN"/>
              </w:rPr>
              <w:t xml:space="preserve"> </w:t>
            </w:r>
            <w:r>
              <w:rPr>
                <w:rFonts w:hint="eastAsia" w:ascii="Times New Roman" w:hAnsi="Times New Roman" w:cs="Times New Roman"/>
                <w:szCs w:val="22"/>
              </w:rPr>
              <w:t>培训时间：2020.7.28</w:t>
            </w:r>
            <w:r>
              <w:rPr>
                <w:rFonts w:hint="eastAsia" w:cs="Times New Roman"/>
                <w:szCs w:val="22"/>
                <w:lang w:val="en-US" w:eastAsia="zh-CN"/>
              </w:rPr>
              <w:t xml:space="preserve"> </w:t>
            </w:r>
            <w:r>
              <w:rPr>
                <w:rFonts w:hint="eastAsia" w:ascii="Times New Roman" w:hAnsi="Times New Roman" w:cs="Times New Roman"/>
                <w:szCs w:val="22"/>
              </w:rPr>
              <w:t>培训老师：孙如明</w:t>
            </w:r>
            <w:r>
              <w:rPr>
                <w:rFonts w:hint="eastAsia" w:cs="Times New Roman"/>
                <w:szCs w:val="22"/>
                <w:lang w:val="en-US" w:eastAsia="zh-CN"/>
              </w:rPr>
              <w:t xml:space="preserve"> </w:t>
            </w:r>
            <w:r>
              <w:rPr>
                <w:rFonts w:hint="eastAsia" w:ascii="Times New Roman" w:hAnsi="Times New Roman" w:cs="Times New Roman"/>
                <w:szCs w:val="22"/>
              </w:rPr>
              <w:t>培训方式：自学、讲授和讨论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参加培训人员：全体员工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培训内容摘要：1、肺炎的传播方式；2、防疫的措施；3、出入登记要求；4、防护用品的使用等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培训有效性评价：有效</w:t>
            </w:r>
            <w:r>
              <w:rPr>
                <w:rFonts w:hint="eastAsia" w:cs="Times New Roman"/>
                <w:szCs w:val="22"/>
                <w:lang w:val="en-US" w:eastAsia="zh-CN"/>
              </w:rPr>
              <w:t xml:space="preserve">  </w:t>
            </w:r>
            <w:r>
              <w:rPr>
                <w:rFonts w:hint="eastAsia" w:ascii="Times New Roman" w:hAnsi="Times New Roman" w:cs="Times New Roman"/>
                <w:szCs w:val="22"/>
              </w:rPr>
              <w:t>评价部门：办公室    负责人/时间：孙如明/2020.7.28</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公司人力资源控制基本满足要求</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工作人员的参与和协商</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O5.4</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经公司员工一致推举决定，推举吴俊为公司的职业健康安全事务代表，其在职业健康安全管理体系的管理职责如下：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a) 适当参与危险源辨识、风险评价和控制措施的确定；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b) 适当参与事件调查；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c) 参与职业健康安全方针和目标的制定和评审；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d) 对影响他们职业健康安全的任何变更进行协商；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e) 对职业健康安全事务发表意见。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查看公司《协商与交流记录表》发送方：办公室</w:t>
            </w:r>
            <w:r>
              <w:rPr>
                <w:rFonts w:hint="eastAsia" w:cs="Times New Roman"/>
                <w:szCs w:val="22"/>
                <w:lang w:eastAsia="zh-CN"/>
              </w:rPr>
              <w:t>，</w:t>
            </w:r>
            <w:r>
              <w:rPr>
                <w:rFonts w:hint="eastAsia" w:ascii="Times New Roman" w:hAnsi="Times New Roman" w:cs="Times New Roman"/>
                <w:szCs w:val="22"/>
              </w:rPr>
              <w:t>接收方：管理层</w:t>
            </w:r>
            <w:r>
              <w:rPr>
                <w:rFonts w:hint="eastAsia" w:cs="Times New Roman"/>
                <w:szCs w:val="22"/>
                <w:lang w:eastAsia="zh-CN"/>
              </w:rPr>
              <w:t>，</w:t>
            </w:r>
            <w:r>
              <w:rPr>
                <w:rFonts w:hint="eastAsia" w:ascii="Times New Roman" w:hAnsi="Times New Roman" w:cs="Times New Roman"/>
                <w:szCs w:val="22"/>
              </w:rPr>
              <w:t>时间：2020.7.20</w:t>
            </w:r>
            <w:r>
              <w:rPr>
                <w:rFonts w:hint="eastAsia" w:cs="Times New Roman"/>
                <w:szCs w:val="22"/>
                <w:lang w:eastAsia="zh-CN"/>
              </w:rPr>
              <w:t>，</w:t>
            </w:r>
            <w:r>
              <w:rPr>
                <w:rFonts w:hint="eastAsia" w:ascii="Times New Roman" w:hAnsi="Times New Roman" w:cs="Times New Roman"/>
                <w:szCs w:val="22"/>
              </w:rPr>
              <w:t>方式：会议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协商与交流内容简要：由于疫情期间，入职员工，延后体检，确保人员安全。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处理情况：1.同意延后体检；2.疫情结束立即体检。</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组织的知识、文件化信息</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Q7.1.6</w:t>
            </w:r>
          </w:p>
          <w:p>
            <w:pPr>
              <w:spacing w:line="360" w:lineRule="auto"/>
              <w:rPr>
                <w:rFonts w:hint="eastAsia" w:ascii="Times New Roman" w:hAnsi="Times New Roman" w:cs="Times New Roman"/>
                <w:szCs w:val="22"/>
              </w:rPr>
            </w:pPr>
            <w:r>
              <w:rPr>
                <w:rFonts w:hint="eastAsia" w:ascii="Times New Roman" w:hAnsi="Times New Roman" w:cs="Times New Roman"/>
                <w:szCs w:val="22"/>
              </w:rPr>
              <w:t>Q7.5</w:t>
            </w:r>
          </w:p>
          <w:p>
            <w:pPr>
              <w:spacing w:line="360" w:lineRule="auto"/>
              <w:rPr>
                <w:rFonts w:hint="eastAsia" w:ascii="Times New Roman" w:hAnsi="Times New Roman" w:cs="Times New Roman"/>
                <w:szCs w:val="22"/>
              </w:rPr>
            </w:pPr>
            <w:r>
              <w:rPr>
                <w:rFonts w:hint="eastAsia" w:ascii="Times New Roman" w:hAnsi="Times New Roman" w:cs="Times New Roman"/>
                <w:szCs w:val="22"/>
              </w:rPr>
              <w:t>O7.5</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为了对知识实行统一、有效地控制和管理，制定了《知识管理程序》，用于公司内部知识的交流和共享管理、外部知识管理、企业知识资产管理。办公室负责公司知识管理的协调工作；负责所有制度文件和资料的管理；负责信息系统的建设与管理 ；负责所有制度文件和资料的发放和记录；所有制度文件和资料应在办公室归档。</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内部知识来源：a.制程重大品质异常；b.生产人员以往的经验累积；c.现有工作中的缺失的经验汇总；d.部门内部相互学习，相互培训的经验交流；e.组织内部门间的经验交流。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外部知识来源：a.品质异常客户投诉；b.组织外部培训,学习前沿的学术及技术；c.对客户的资料分析，学习；d.从互联网上下载所需要的技术资料。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查《组织知识清单》，外部知识有：DL/T 802.7-2010“电力电缆用导管技术条件 第7部分：非开挖用改性聚丙烯塑料电缆导管；GB/T 13663.2-2018“给水用聚乙烯（PE）管道系统 第2部分：管材中PE100级管材；GB/T 13663.3-2018“给水用聚乙烯（PE）管道系统 第3部分：管件中PE100级管件；CJ/T 493-2016“给水用高性能硬聚氯乙烯管材及连接件”；GB/T 2828.1-2012 计数抽样检验程序第1部分:按接收质量限(AQL)检索的逐批检验抽样计划；法律法规。内部知识有：产品控制计划、设计开发作业指导书、生产作业指导书、不合格品分析改进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公司及时通过网络查询对知识进行更新，以确定最新版本。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公司建立的管理体系文件包括：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1.管理手册ZTSY-SC-2020 (</w:t>
            </w:r>
            <w:r>
              <w:rPr>
                <w:rFonts w:hint="eastAsia" w:cs="Times New Roman"/>
                <w:szCs w:val="22"/>
                <w:lang w:val="en-US" w:eastAsia="zh-CN"/>
              </w:rPr>
              <w:t>1/</w:t>
            </w:r>
            <w:r>
              <w:rPr>
                <w:rFonts w:hint="eastAsia" w:ascii="Times New Roman" w:hAnsi="Times New Roman" w:cs="Times New Roman"/>
                <w:szCs w:val="22"/>
              </w:rPr>
              <w:t>0)版，发布时间：2020年07月16日    实施时间：2020年07月16日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2.程序文件ZTSY-CX-2020（A/0）版发布时间：2020年07月16日    实施时间：2020年07月16日，内含29个文件，包括标准要求的形成文件的信息。</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4.体系运行所需要的文件和记录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编制了《文件管理程序》《记录管理程序》用于对管理体系文件，符合标准要求。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办公室是文件的归口管理门，负责文件的标识、发放与回收，存档与管理。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查见《适用的法律法规及其他要求清单》，内容包括：序号、类别、法规/标准编号、法律法规及其他要求文件名、颁布部门、生效日/最新修订日，收集基本全面，基本符合，均为有效版本。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见《记录清单》，内容包括：序号、记录编号、记录名称、部门、保存期限等。共登记有目标分解表、文件审批表、受控文件清单、人员需求申请表、年度培训计划表、危险源清单、职业健康安全管理方案等48个，保存期限均为三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查受控文件清单、记录清单、年度培训计划表、危险源清单等填写符合要求。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各部门负责本部门记录的编制、填写、收集、保管；办公室负责记录控制的检查、督办和定期汇总保管。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办公室负责在公司内部建立QQ工作群、微信工作组以及实行培训、教育等活动以实现知识共享、传递。</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意识</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Q7.3</w:t>
            </w:r>
          </w:p>
          <w:p>
            <w:pPr>
              <w:spacing w:line="360" w:lineRule="auto"/>
              <w:rPr>
                <w:rFonts w:hint="eastAsia" w:ascii="Times New Roman" w:hAnsi="Times New Roman" w:cs="Times New Roman"/>
                <w:szCs w:val="22"/>
              </w:rPr>
            </w:pPr>
            <w:r>
              <w:rPr>
                <w:rFonts w:hint="eastAsia" w:ascii="Times New Roman" w:hAnsi="Times New Roman" w:cs="Times New Roman"/>
                <w:szCs w:val="22"/>
              </w:rPr>
              <w:t>O7.3</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主要通过培训提高岗位作业水平及质量和环境、安全意识，明确各岗位要求，工作人员自身工作对环境、安全目标的影响，以及如何通过培训和互相交流提高环境绩效，不符合质量管理体系要求的后果等。</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沟通</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Q7.4</w:t>
            </w:r>
          </w:p>
          <w:p>
            <w:pPr>
              <w:spacing w:line="360" w:lineRule="auto"/>
              <w:rPr>
                <w:rFonts w:hint="eastAsia" w:ascii="Times New Roman" w:hAnsi="Times New Roman" w:cs="Times New Roman"/>
                <w:szCs w:val="22"/>
              </w:rPr>
            </w:pPr>
            <w:r>
              <w:rPr>
                <w:rFonts w:hint="eastAsia" w:ascii="Times New Roman" w:hAnsi="Times New Roman" w:cs="Times New Roman"/>
                <w:szCs w:val="22"/>
              </w:rPr>
              <w:t>O7.4</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建立并保持《信息交流、协商和沟通控制程序》，用于公司内部各职能部门和层次之间的质量、安全信息的交流与沟通，用于公司外部就质量、安全方面的信息与进入工作场所的承包方和其他访问者、顾客、相关方的相互沟通，包括联络的接收、文件形成及答复。对于外部相关方的相关沟通,应保持接收、记录和回应。</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内部沟通主要有：公司每年召开职业代表会等，向员工报告经营情况，传达大政方针，明确经营思想，做出工作部署。员工通过各级工会组织及职业健康安全事务代表就管理体系中有关问题与上级有关部门进行沟通。办公室按照体系文件的规定，将体系运行情况及内审、管理评审的信息在公司各层次进行沟通；对公司办公区域的职业健康安全管理情况及要求通过会议、通知等形式进行沟通；根据权责范围收集日常运行中质量、职业健康安全情况，根据需要填报月报或季报，报公司领导和上级主管部门，并在公司范围内不定期通报所属单位的质量、环境、职业安全管理情况。公司各部门对涉及质量、职业健康安全管理的信息，应及时整理，使用文件或其他的书面形式进行必要沟通。全体员工推荐1名员工作为职业健康安全事务代表，参与公司职业健康安全方针和目标的制定和评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外部沟通主要有：办公对接收的相关方的建议、意见、投诉和抱怨，以及外部有关质量、职业健康安全的信息，及时进行传递或沟通，转相关部门和人员处理；负责与上级主管部门、地方政府进行沟通，获取并传达相关信息；将职业健康安全的相关信息和管理要求与进入运营现场的来访者进行沟通，要求执行有关规定，避免出现安全事故。</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运行控制</w:t>
            </w:r>
          </w:p>
        </w:tc>
        <w:tc>
          <w:tcPr>
            <w:tcW w:w="879" w:type="dxa"/>
            <w:vAlign w:val="center"/>
          </w:tcPr>
          <w:p>
            <w:pP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O</w:t>
            </w:r>
            <w:r>
              <w:rPr>
                <w:rFonts w:hint="default" w:ascii="Times New Roman" w:hAnsi="Times New Roman" w:cs="Times New Roman"/>
                <w:sz w:val="21"/>
                <w:szCs w:val="21"/>
              </w:rPr>
              <w:t>8.1</w:t>
            </w:r>
          </w:p>
        </w:tc>
        <w:tc>
          <w:tcPr>
            <w:tcW w:w="11480" w:type="dxa"/>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lang w:val="en-GB"/>
              </w:rPr>
            </w:pPr>
            <w:r>
              <w:rPr>
                <w:rFonts w:hint="default" w:ascii="Times New Roman" w:hAnsi="Times New Roman" w:cs="Times New Roman"/>
                <w:szCs w:val="22"/>
              </w:rPr>
              <w:t>本部门应执行的运行控制文件：</w:t>
            </w:r>
            <w:r>
              <w:rPr>
                <w:rFonts w:hint="eastAsia" w:ascii="Times New Roman" w:hAnsi="Times New Roman" w:cs="Times New Roman"/>
                <w:szCs w:val="22"/>
                <w:lang w:val="en-GB" w:eastAsia="zh-CN"/>
              </w:rPr>
              <w:t>环境、职业健康安全运行控制程序</w:t>
            </w:r>
            <w:r>
              <w:rPr>
                <w:rFonts w:hint="default" w:ascii="Times New Roman" w:hAnsi="Times New Roman" w:cs="Times New Roman"/>
                <w:szCs w:val="22"/>
                <w:lang w:val="en-GB"/>
              </w:rPr>
              <w:t>，</w:t>
            </w:r>
            <w:r>
              <w:rPr>
                <w:rFonts w:hint="default" w:ascii="Times New Roman" w:hAnsi="Times New Roman" w:cs="Times New Roman"/>
                <w:szCs w:val="22"/>
              </w:rPr>
              <w:t>废弃物控制程序、噪声控制程序、劳动防护用品控制程序、资源能源控制程序等。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lang w:val="en-GB"/>
              </w:rPr>
            </w:pPr>
            <w:r>
              <w:rPr>
                <w:rFonts w:hint="default" w:ascii="Times New Roman" w:hAnsi="Times New Roman" w:cs="Times New Roman"/>
                <w:szCs w:val="22"/>
                <w:lang w:val="en-GB"/>
              </w:rPr>
              <w:t>运行控制情况：办公过程注意节约用电，做到人走灯灭，电脑长时间不用时关机，下班前要关闭电源；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lang w:val="en-GB"/>
              </w:rPr>
            </w:pPr>
            <w:r>
              <w:rPr>
                <w:rFonts w:hint="default" w:ascii="Times New Roman" w:hAnsi="Times New Roman" w:cs="Times New Roman"/>
                <w:szCs w:val="22"/>
              </w:rPr>
              <w:t>办公过程使用的电器如：空调、电脑、灯具均符合安全设计要求，使用过程注意安全，预防触电，工作时间平均每天8小时；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lang w:val="en-GB"/>
              </w:rPr>
            </w:pPr>
            <w:r>
              <w:rPr>
                <w:rFonts w:hint="default" w:ascii="Times New Roman" w:hAnsi="Times New Roman" w:cs="Times New Roman"/>
                <w:szCs w:val="22"/>
                <w:lang w:val="en-GB"/>
              </w:rPr>
              <w:t>办公用品按要求由</w:t>
            </w:r>
            <w:r>
              <w:rPr>
                <w:rFonts w:hint="default" w:ascii="Times New Roman" w:hAnsi="Times New Roman" w:cs="Times New Roman"/>
                <w:szCs w:val="22"/>
              </w:rPr>
              <w:t>办公室</w:t>
            </w:r>
            <w:r>
              <w:rPr>
                <w:rFonts w:hint="default" w:ascii="Times New Roman" w:hAnsi="Times New Roman" w:cs="Times New Roman"/>
                <w:szCs w:val="22"/>
                <w:lang w:val="en-GB"/>
              </w:rPr>
              <w:t>负责发放，作好记录；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lang w:val="en-GB"/>
              </w:rPr>
            </w:pPr>
            <w:r>
              <w:rPr>
                <w:rFonts w:hint="default" w:ascii="Times New Roman" w:hAnsi="Times New Roman" w:cs="Times New Roman"/>
                <w:szCs w:val="22"/>
                <w:lang w:val="en-GB"/>
              </w:rPr>
              <w:t>相关方施加影响：公司能够控制或能够施加影响的相关方有周边商户、固体废弃物处理等。提供了“相关方告知书”，将公司关于方针、需配合要求发放到了周边商户，督促影响各相关方按照环境管理体系要求对环境施加影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lang w:val="en-GB"/>
              </w:rPr>
            </w:pPr>
            <w:r>
              <w:rPr>
                <w:rFonts w:hint="default" w:ascii="Times New Roman" w:hAnsi="Times New Roman" w:cs="Times New Roman"/>
                <w:szCs w:val="22"/>
                <w:lang w:val="en-GB"/>
              </w:rPr>
              <w:t>公司办公产生的废硒鼓、废墨盒、色带由供应方公司回收；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办公室</w:t>
            </w:r>
            <w:r>
              <w:rPr>
                <w:rFonts w:hint="default" w:ascii="Times New Roman" w:hAnsi="Times New Roman" w:cs="Times New Roman"/>
                <w:szCs w:val="22"/>
                <w:lang w:val="en-GB"/>
              </w:rPr>
              <w:t>每天巡视现场，对工作环境进行检查，发现问题当即纠正；每月进行检查统计分析，查</w:t>
            </w:r>
            <w:r>
              <w:rPr>
                <w:rFonts w:hint="default" w:ascii="Times New Roman" w:hAnsi="Times New Roman" w:cs="Times New Roman"/>
                <w:szCs w:val="22"/>
              </w:rPr>
              <w:t>20</w:t>
            </w:r>
            <w:r>
              <w:rPr>
                <w:rFonts w:hint="eastAsia" w:ascii="Times New Roman" w:hAnsi="Times New Roman" w:cs="Times New Roman"/>
                <w:szCs w:val="22"/>
                <w:lang w:val="en-US" w:eastAsia="zh-CN"/>
              </w:rPr>
              <w:t>20.8-10</w:t>
            </w:r>
            <w:r>
              <w:rPr>
                <w:rFonts w:hint="default" w:ascii="Times New Roman" w:hAnsi="Times New Roman" w:cs="Times New Roman"/>
                <w:szCs w:val="22"/>
              </w:rPr>
              <w:t>检查记录，各部门运行情况良好。检查人：</w:t>
            </w:r>
            <w:r>
              <w:rPr>
                <w:rFonts w:hint="eastAsia" w:ascii="Times New Roman" w:hAnsi="Times New Roman" w:cs="Times New Roman"/>
                <w:szCs w:val="22"/>
                <w:lang w:val="en-US" w:eastAsia="zh-CN"/>
              </w:rPr>
              <w:t>吴俊</w:t>
            </w:r>
            <w:r>
              <w:rPr>
                <w:rFonts w:hint="default" w:ascii="Times New Roman" w:hAnsi="Times New Roman" w:cs="Times New Roman"/>
                <w:szCs w:val="22"/>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公司为员工缴纳了工伤保险，提供了缴纳保险的证据。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为员工配备了安全防护设施—提供《劳保用品发放记录》，主要劳保用品为：线手套、洗衣粉、口罩等，记录了发放时间、领用人等，发放人：</w:t>
            </w:r>
            <w:r>
              <w:rPr>
                <w:rFonts w:hint="eastAsia" w:ascii="Times New Roman" w:hAnsi="Times New Roman" w:cs="Times New Roman"/>
                <w:szCs w:val="22"/>
                <w:lang w:val="en-US" w:eastAsia="zh-CN"/>
              </w:rPr>
              <w:t>吴俊</w:t>
            </w:r>
            <w:r>
              <w:rPr>
                <w:rFonts w:hint="default" w:ascii="Times New Roman" w:hAnsi="Times New Roman" w:cs="Times New Roman"/>
                <w:szCs w:val="22"/>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办公区固废；现在分类集中存放，及时处理，防止意外火灾。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查看办公区域配备有灭火器，办公室设备、电器状态良好，无安全隐患。</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Cs w:val="22"/>
              </w:rPr>
              <w:t>经查，符合要求。</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9" w:hRule="atLeast"/>
        </w:trPr>
        <w:tc>
          <w:tcPr>
            <w:tcW w:w="1622" w:type="dxa"/>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应急准备和响应</w:t>
            </w:r>
          </w:p>
        </w:tc>
        <w:tc>
          <w:tcPr>
            <w:tcW w:w="879"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ES</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8.2</w:t>
            </w:r>
          </w:p>
        </w:tc>
        <w:tc>
          <w:tcPr>
            <w:tcW w:w="11480" w:type="dxa"/>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1、查策划有《应急准备和响应控制程序》，编制有触电、火灾事故、</w:t>
            </w:r>
            <w:r>
              <w:rPr>
                <w:rFonts w:hint="eastAsia" w:ascii="Times New Roman" w:hAnsi="Times New Roman" w:cs="Times New Roman"/>
                <w:szCs w:val="22"/>
                <w:lang w:val="en-US" w:eastAsia="zh-CN"/>
              </w:rPr>
              <w:t>爆炸事故、</w:t>
            </w:r>
            <w:r>
              <w:rPr>
                <w:rFonts w:hint="default" w:ascii="Times New Roman" w:hAnsi="Times New Roman" w:cs="Times New Roman"/>
                <w:szCs w:val="22"/>
              </w:rPr>
              <w:t>机械伤害事故应急预案。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2、抽火灾应急准备工作开展以下活动：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——建立有应急组织，提供应急组织机构图、消防队人员名单、职责权限规定等。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——配备相应的消防器材。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——进行消防常识和能力的培训、潜在的火灾爆炸的常识和能力的培训</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3、该部门介绍开展了消防器材的使用和人员紧急疏散演练活动：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提供有“消防演习记录”。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——演练时间：20</w:t>
            </w:r>
            <w:r>
              <w:rPr>
                <w:rFonts w:hint="eastAsia" w:cs="Times New Roman"/>
                <w:szCs w:val="22"/>
                <w:lang w:val="en-US" w:eastAsia="zh-CN"/>
              </w:rPr>
              <w:t>20</w:t>
            </w:r>
            <w:r>
              <w:rPr>
                <w:rFonts w:hint="default" w:ascii="Times New Roman" w:hAnsi="Times New Roman" w:cs="Times New Roman"/>
                <w:szCs w:val="22"/>
              </w:rPr>
              <w:t>年</w:t>
            </w:r>
            <w:r>
              <w:rPr>
                <w:rFonts w:hint="eastAsia" w:cs="Times New Roman"/>
                <w:szCs w:val="22"/>
                <w:lang w:val="en-US" w:eastAsia="zh-CN"/>
              </w:rPr>
              <w:t>9</w:t>
            </w:r>
            <w:r>
              <w:rPr>
                <w:rFonts w:hint="default" w:ascii="Times New Roman" w:hAnsi="Times New Roman" w:cs="Times New Roman"/>
                <w:szCs w:val="22"/>
              </w:rPr>
              <w:t>月1</w:t>
            </w:r>
            <w:r>
              <w:rPr>
                <w:rFonts w:hint="eastAsia" w:cs="Times New Roman"/>
                <w:szCs w:val="22"/>
                <w:lang w:val="en-US" w:eastAsia="zh-CN"/>
              </w:rPr>
              <w:t>6</w:t>
            </w:r>
            <w:r>
              <w:rPr>
                <w:rFonts w:hint="default" w:ascii="Times New Roman" w:hAnsi="Times New Roman" w:cs="Times New Roman"/>
                <w:szCs w:val="22"/>
              </w:rPr>
              <w:t>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——演练组织部门：办公室；参加人员：全体</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演练效果评价记录：演练真实地演练有目标、有方向、有惊无险，人员安全救火行动迅速，扑灭及时，位置准确，使用器械符合操作规范，水泵使用正常，管道畅通，人员配合有序，消防水池储水到位，基本达到演练目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 xml:space="preserve">    2、通过演练进一步学习消防知识，掌握消防器械的正确使用，使人们互帮互学，团结有力，在实践中得到锻炼和成长。</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 xml:space="preserve">    3、全体员工的安全意识，消防知识得到进一步提高。</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 xml:space="preserve">    4、存在问题，个别人员认为是搞演练存在无所谓的思想，很不严肃。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rPr>
            </w:pPr>
            <w:r>
              <w:rPr>
                <w:rFonts w:hint="default" w:ascii="Times New Roman" w:hAnsi="Times New Roman" w:cs="Times New Roman"/>
                <w:szCs w:val="22"/>
              </w:rPr>
              <w:t>——对消防应急预案的适用性、可操作性进行评审；符合要求。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Cs w:val="22"/>
                <w:lang w:val="zh-CN"/>
              </w:rPr>
            </w:pPr>
            <w:r>
              <w:rPr>
                <w:rFonts w:hint="default" w:ascii="Times New Roman" w:hAnsi="Times New Roman" w:cs="Times New Roman"/>
                <w:szCs w:val="22"/>
                <w:lang w:val="zh-CN"/>
              </w:rPr>
              <w:t>现场查看，办公区域配置了灭火器，在有效期内。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kern w:val="2"/>
                <w:sz w:val="21"/>
                <w:szCs w:val="21"/>
                <w:lang w:val="zh-CN" w:eastAsia="zh-CN" w:bidi="ar-SA"/>
              </w:rPr>
            </w:pPr>
            <w:bookmarkStart w:id="2" w:name="_GoBack"/>
            <w:bookmarkEnd w:id="2"/>
            <w:r>
              <w:rPr>
                <w:rFonts w:hint="default" w:ascii="Times New Roman" w:hAnsi="Times New Roman" w:cs="Times New Roman"/>
                <w:szCs w:val="22"/>
                <w:lang w:val="zh-CN"/>
              </w:rPr>
              <w:t>另20</w:t>
            </w:r>
            <w:r>
              <w:rPr>
                <w:rFonts w:hint="eastAsia" w:cs="Times New Roman"/>
                <w:szCs w:val="22"/>
                <w:lang w:val="en-US" w:eastAsia="zh-CN"/>
              </w:rPr>
              <w:t>20</w:t>
            </w:r>
            <w:r>
              <w:rPr>
                <w:rFonts w:hint="default" w:ascii="Times New Roman" w:hAnsi="Times New Roman" w:cs="Times New Roman"/>
                <w:szCs w:val="22"/>
                <w:lang w:val="zh-CN"/>
              </w:rPr>
              <w:t>年</w:t>
            </w:r>
            <w:r>
              <w:rPr>
                <w:rFonts w:hint="eastAsia" w:cs="Times New Roman"/>
                <w:szCs w:val="22"/>
                <w:lang w:val="en-US" w:eastAsia="zh-CN"/>
              </w:rPr>
              <w:t>9</w:t>
            </w:r>
            <w:r>
              <w:rPr>
                <w:rFonts w:hint="default" w:ascii="Times New Roman" w:hAnsi="Times New Roman" w:cs="Times New Roman"/>
                <w:szCs w:val="22"/>
                <w:lang w:val="zh-CN"/>
              </w:rPr>
              <w:t>月1</w:t>
            </w:r>
            <w:r>
              <w:rPr>
                <w:rFonts w:hint="eastAsia" w:cs="Times New Roman"/>
                <w:szCs w:val="22"/>
                <w:lang w:val="en-US" w:eastAsia="zh-CN"/>
              </w:rPr>
              <w:t>8</w:t>
            </w:r>
            <w:r>
              <w:rPr>
                <w:rFonts w:hint="default" w:ascii="Times New Roman" w:hAnsi="Times New Roman" w:cs="Times New Roman"/>
                <w:szCs w:val="22"/>
                <w:lang w:val="zh-CN"/>
              </w:rPr>
              <w:t>日触电、20</w:t>
            </w:r>
            <w:r>
              <w:rPr>
                <w:rFonts w:hint="eastAsia" w:cs="Times New Roman"/>
                <w:szCs w:val="22"/>
                <w:lang w:val="en-US" w:eastAsia="zh-CN"/>
              </w:rPr>
              <w:t>20</w:t>
            </w:r>
            <w:r>
              <w:rPr>
                <w:rFonts w:hint="default" w:ascii="Times New Roman" w:hAnsi="Times New Roman" w:cs="Times New Roman"/>
                <w:szCs w:val="22"/>
                <w:lang w:val="zh-CN"/>
              </w:rPr>
              <w:t>年</w:t>
            </w:r>
            <w:r>
              <w:rPr>
                <w:rFonts w:hint="eastAsia" w:cs="Times New Roman"/>
                <w:szCs w:val="22"/>
                <w:lang w:val="en-US" w:eastAsia="zh-CN"/>
              </w:rPr>
              <w:t>9</w:t>
            </w:r>
            <w:r>
              <w:rPr>
                <w:rFonts w:hint="default" w:ascii="Times New Roman" w:hAnsi="Times New Roman" w:cs="Times New Roman"/>
                <w:szCs w:val="22"/>
                <w:lang w:val="zh-CN"/>
              </w:rPr>
              <w:t>月20日机械伤害事故应急演练记录，均保存完好，符合要求。</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内部审核</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Q9.2</w:t>
            </w:r>
          </w:p>
          <w:p>
            <w:pPr>
              <w:spacing w:line="360" w:lineRule="auto"/>
              <w:rPr>
                <w:rFonts w:hint="eastAsia" w:ascii="Times New Roman" w:hAnsi="Times New Roman" w:cs="Times New Roman"/>
                <w:szCs w:val="22"/>
              </w:rPr>
            </w:pPr>
            <w:r>
              <w:rPr>
                <w:rFonts w:hint="eastAsia" w:ascii="Times New Roman" w:hAnsi="Times New Roman" w:cs="Times New Roman"/>
                <w:szCs w:val="22"/>
              </w:rPr>
              <w:t>O9.2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公司编制了《内部审核管理程序》，审核验证质量、职业健康安全管理体系是否符合策划的结果，确定质量、职业健康安全管理体系是否得到有效实施和保持，及对质量、职业健康安全管理体系的持续改进。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查阅公司2020年内部审核相关记录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查审核计划，编制：吴俊  批准：孙如明   2020.10.16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审核范围：组织经营过程中涉及的质量管理活动及其相关的环境管理和职业健康安全管理活动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被审核部门：总经理、体系负责人、安全事务代表、销售部、办公室、生产部、质检部、财务部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审核依据：GB/T19001-2016  质量管理体系要求；ISO45001:2018 职业健康安全管理体系要求及使用指南；质量安全管理手册、程序文件、顾客要求、法律法规要求、公司各类管理制度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审核方法：询问、面谈、查看记录、查看现场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审核时间、持续时间：2020年10月17日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审核组长：吴俊，审核组人员：熊延亮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查内审实施计划、首末次会议签到表、内审检查表，审核按计划进行，条款覆盖标准全面，没有遗漏。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提供不符合报告2份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不合格事项1描述：消防器材未实现定位定置，条款：ISO45001:2018标准8.1条款，一般不符合。对不合格原因进行了分析，并进行纠正，确定纠正措施。纠正措施验证结论：纠正有效，验证人/日期：熊延亮，2020.10.18</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不合格事项2描述：合同签订前未做合同评审，条款：ISO9001:2015标准8.2条款，一般不符合，对不合格原因进行了分析，并进行纠正，确定纠正措施。纠正措施验证结论：纠正有效，验证人/日期：熊延亮，2020.10.18</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本次内审编制有内审报告，对内审进行了评价，审核报告中包括：审核目的、审核范围、审核依据、审核评价和结论。审核结论：基本符合计划安排和标准的要求，并得到了较有效实施和保持， 仍需进一步改进（内审发现的问题）。审核组长：吴俊，日期2020.10.18；批准：孙如明，日期：2020.10.18</w:t>
            </w:r>
          </w:p>
        </w:tc>
        <w:tc>
          <w:tcPr>
            <w:tcW w:w="70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不合格及纠正措施</w:t>
            </w:r>
          </w:p>
        </w:tc>
        <w:tc>
          <w:tcPr>
            <w:tcW w:w="879" w:type="dxa"/>
          </w:tcPr>
          <w:p>
            <w:pPr>
              <w:spacing w:line="360" w:lineRule="auto"/>
              <w:rPr>
                <w:rFonts w:hint="eastAsia" w:ascii="Times New Roman" w:hAnsi="Times New Roman" w:cs="Times New Roman"/>
                <w:szCs w:val="22"/>
              </w:rPr>
            </w:pPr>
            <w:r>
              <w:rPr>
                <w:rFonts w:hint="eastAsia" w:ascii="Times New Roman" w:hAnsi="Times New Roman" w:cs="Times New Roman"/>
                <w:szCs w:val="22"/>
              </w:rPr>
              <w:t>Q10.2</w:t>
            </w:r>
          </w:p>
          <w:p>
            <w:pPr>
              <w:spacing w:line="360" w:lineRule="auto"/>
              <w:rPr>
                <w:rFonts w:hint="eastAsia" w:ascii="Times New Roman" w:hAnsi="Times New Roman" w:cs="Times New Roman"/>
                <w:szCs w:val="22"/>
              </w:rPr>
            </w:pPr>
            <w:r>
              <w:rPr>
                <w:rFonts w:hint="eastAsia" w:ascii="Times New Roman" w:hAnsi="Times New Roman" w:cs="Times New Roman"/>
                <w:szCs w:val="22"/>
              </w:rPr>
              <w:t>O10.2</w:t>
            </w:r>
          </w:p>
        </w:tc>
        <w:tc>
          <w:tcPr>
            <w:tcW w:w="1148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制定《纠正措施管理程序》以消除质量、职业健康安全管理体系运行过程中发现的不合格和潜在不合格的原因，防止其再发生，确保质量、职业健康安全管理体系持续的有效性和符合性。制定《事故、事件不符合管理程序》，建立有效的事故处理机制，及时报告和处理事故，采取预防措施，防止同类事故的再次发生并最大限度地降低事故可能造成的后果。制定《不合格品和潜在不安全生产管理程序》，对不合格品和潜在不合格品进行有效控制，并给予适当的处置，确保前一过程的不合格品或潜在不合格品不输入下一过程，防止不合格品原预期的使用或交付。</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对日常工作检查，管理评审，内审，其他考评，合规性评价发现的不符合及质量、环境的事件采取纠正，防止事态发展，进行原因分析，采取必要的纠正预防措施，防止事件的发生、再发生。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对管理评审、内审提出的不符合及改进要求，进行原因分析，制定了具体措施。</w:t>
            </w:r>
          </w:p>
        </w:tc>
        <w:tc>
          <w:tcPr>
            <w:tcW w:w="709" w:type="dxa"/>
          </w:tcPr>
          <w:p>
            <w:pPr>
              <w:rPr>
                <w:szCs w:val="21"/>
              </w:rPr>
            </w:pPr>
          </w:p>
        </w:tc>
      </w:tr>
    </w:tbl>
    <w:p>
      <w:pPr>
        <w:pStyle w:val="8"/>
        <w:rPr>
          <w:rFonts w:ascii="楷体" w:hAnsi="楷体" w:eastAsia="楷体"/>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9"/>
      <w:pBdr>
        <w:bottom w:val="none" w:color="auto" w:sz="0" w:space="0"/>
      </w:pBdr>
      <w:spacing w:line="320" w:lineRule="exact"/>
      <w:ind w:firstLine="720" w:firstLineChars="400"/>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w:t>
                </w:r>
                <w:r>
                  <w:rPr>
                    <w:rFonts w:hint="eastAsia"/>
                    <w:sz w:val="18"/>
                    <w:szCs w:val="18"/>
                  </w:rPr>
                  <w:t>9管理体系审核记录表(03版)</w:t>
                </w:r>
              </w:p>
            </w:txbxContent>
          </v:textbox>
        </v:shape>
      </w:pict>
    </w:r>
    <w:r>
      <w:rPr>
        <w:rStyle w:val="21"/>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3F53"/>
    <w:rsid w:val="0000732C"/>
    <w:rsid w:val="000102DE"/>
    <w:rsid w:val="00022F11"/>
    <w:rsid w:val="0005011D"/>
    <w:rsid w:val="0005375F"/>
    <w:rsid w:val="00067B35"/>
    <w:rsid w:val="00075E9F"/>
    <w:rsid w:val="00081DAA"/>
    <w:rsid w:val="00091B41"/>
    <w:rsid w:val="00094A46"/>
    <w:rsid w:val="00097010"/>
    <w:rsid w:val="000F4594"/>
    <w:rsid w:val="001131B2"/>
    <w:rsid w:val="0012740B"/>
    <w:rsid w:val="00141AB0"/>
    <w:rsid w:val="00154AA3"/>
    <w:rsid w:val="00181653"/>
    <w:rsid w:val="00183124"/>
    <w:rsid w:val="001D236D"/>
    <w:rsid w:val="001E439B"/>
    <w:rsid w:val="00235443"/>
    <w:rsid w:val="00242652"/>
    <w:rsid w:val="002679C2"/>
    <w:rsid w:val="00280729"/>
    <w:rsid w:val="0028428D"/>
    <w:rsid w:val="002A2690"/>
    <w:rsid w:val="002B18AC"/>
    <w:rsid w:val="00314638"/>
    <w:rsid w:val="003149EB"/>
    <w:rsid w:val="00323081"/>
    <w:rsid w:val="00326600"/>
    <w:rsid w:val="0033099B"/>
    <w:rsid w:val="00336CD2"/>
    <w:rsid w:val="00340906"/>
    <w:rsid w:val="003539C1"/>
    <w:rsid w:val="00373F45"/>
    <w:rsid w:val="0037489B"/>
    <w:rsid w:val="003C1B2D"/>
    <w:rsid w:val="003C7A2A"/>
    <w:rsid w:val="003D7DA9"/>
    <w:rsid w:val="003E552C"/>
    <w:rsid w:val="0040710B"/>
    <w:rsid w:val="00411D38"/>
    <w:rsid w:val="004256B1"/>
    <w:rsid w:val="00443AB8"/>
    <w:rsid w:val="004611FA"/>
    <w:rsid w:val="004A3F2B"/>
    <w:rsid w:val="004D4E37"/>
    <w:rsid w:val="004E550C"/>
    <w:rsid w:val="00503F53"/>
    <w:rsid w:val="005135E3"/>
    <w:rsid w:val="00545150"/>
    <w:rsid w:val="005709AF"/>
    <w:rsid w:val="005729E8"/>
    <w:rsid w:val="0057598F"/>
    <w:rsid w:val="00587947"/>
    <w:rsid w:val="005A248D"/>
    <w:rsid w:val="005C4C10"/>
    <w:rsid w:val="005E2CE4"/>
    <w:rsid w:val="006116E9"/>
    <w:rsid w:val="00615C1A"/>
    <w:rsid w:val="00632D1A"/>
    <w:rsid w:val="00633C21"/>
    <w:rsid w:val="00675D0F"/>
    <w:rsid w:val="006763C6"/>
    <w:rsid w:val="006868D8"/>
    <w:rsid w:val="00692B55"/>
    <w:rsid w:val="00696572"/>
    <w:rsid w:val="006C078B"/>
    <w:rsid w:val="006D1E46"/>
    <w:rsid w:val="006D42F5"/>
    <w:rsid w:val="00707BD9"/>
    <w:rsid w:val="00745443"/>
    <w:rsid w:val="00795BF0"/>
    <w:rsid w:val="007D097E"/>
    <w:rsid w:val="007E0CF4"/>
    <w:rsid w:val="0080050C"/>
    <w:rsid w:val="00813B95"/>
    <w:rsid w:val="0082381B"/>
    <w:rsid w:val="00837983"/>
    <w:rsid w:val="00842754"/>
    <w:rsid w:val="008521EE"/>
    <w:rsid w:val="00857292"/>
    <w:rsid w:val="008D34D2"/>
    <w:rsid w:val="008D5AFB"/>
    <w:rsid w:val="008D636C"/>
    <w:rsid w:val="008E7390"/>
    <w:rsid w:val="008F254C"/>
    <w:rsid w:val="008F42C1"/>
    <w:rsid w:val="0090621B"/>
    <w:rsid w:val="0093413D"/>
    <w:rsid w:val="00935F38"/>
    <w:rsid w:val="00945B1E"/>
    <w:rsid w:val="009877FE"/>
    <w:rsid w:val="009A3819"/>
    <w:rsid w:val="009A6CE9"/>
    <w:rsid w:val="009E3EEE"/>
    <w:rsid w:val="009F78A7"/>
    <w:rsid w:val="00A22135"/>
    <w:rsid w:val="00A271E8"/>
    <w:rsid w:val="00A3119F"/>
    <w:rsid w:val="00A45C78"/>
    <w:rsid w:val="00A516A3"/>
    <w:rsid w:val="00A864CB"/>
    <w:rsid w:val="00AC0195"/>
    <w:rsid w:val="00AC14F9"/>
    <w:rsid w:val="00AC62C1"/>
    <w:rsid w:val="00AD15B6"/>
    <w:rsid w:val="00B10C1F"/>
    <w:rsid w:val="00B241FA"/>
    <w:rsid w:val="00B36807"/>
    <w:rsid w:val="00B45CF4"/>
    <w:rsid w:val="00B91A7E"/>
    <w:rsid w:val="00BB12A6"/>
    <w:rsid w:val="00BB1BBD"/>
    <w:rsid w:val="00BE5F99"/>
    <w:rsid w:val="00BF2E0E"/>
    <w:rsid w:val="00C05282"/>
    <w:rsid w:val="00C113B3"/>
    <w:rsid w:val="00C1748F"/>
    <w:rsid w:val="00C55118"/>
    <w:rsid w:val="00C84A04"/>
    <w:rsid w:val="00CE0398"/>
    <w:rsid w:val="00CE6B72"/>
    <w:rsid w:val="00CE7035"/>
    <w:rsid w:val="00CF5CDC"/>
    <w:rsid w:val="00D134C6"/>
    <w:rsid w:val="00D14D7F"/>
    <w:rsid w:val="00D4286C"/>
    <w:rsid w:val="00D453FD"/>
    <w:rsid w:val="00D62600"/>
    <w:rsid w:val="00D7005D"/>
    <w:rsid w:val="00D70C01"/>
    <w:rsid w:val="00DA4423"/>
    <w:rsid w:val="00DF12D0"/>
    <w:rsid w:val="00E22AF8"/>
    <w:rsid w:val="00E25B09"/>
    <w:rsid w:val="00E3020D"/>
    <w:rsid w:val="00E4143B"/>
    <w:rsid w:val="00E42992"/>
    <w:rsid w:val="00E73FCC"/>
    <w:rsid w:val="00E86713"/>
    <w:rsid w:val="00E91179"/>
    <w:rsid w:val="00E92772"/>
    <w:rsid w:val="00E931E0"/>
    <w:rsid w:val="00EC0041"/>
    <w:rsid w:val="00F07FD7"/>
    <w:rsid w:val="00F25A7F"/>
    <w:rsid w:val="00F30B3E"/>
    <w:rsid w:val="00F379DD"/>
    <w:rsid w:val="00F56D72"/>
    <w:rsid w:val="00F66C4C"/>
    <w:rsid w:val="00F95887"/>
    <w:rsid w:val="00F95BE5"/>
    <w:rsid w:val="00FB4652"/>
    <w:rsid w:val="00FC0F6A"/>
    <w:rsid w:val="00FD316C"/>
    <w:rsid w:val="00FF4B6B"/>
    <w:rsid w:val="031310A8"/>
    <w:rsid w:val="0405024F"/>
    <w:rsid w:val="06C0691C"/>
    <w:rsid w:val="06FC3018"/>
    <w:rsid w:val="073671D7"/>
    <w:rsid w:val="07802BD6"/>
    <w:rsid w:val="0B5940C6"/>
    <w:rsid w:val="0B815FBF"/>
    <w:rsid w:val="0E385CEC"/>
    <w:rsid w:val="0F7E3D38"/>
    <w:rsid w:val="0F8911D0"/>
    <w:rsid w:val="0FC572FE"/>
    <w:rsid w:val="11FF3CD5"/>
    <w:rsid w:val="131058BF"/>
    <w:rsid w:val="1655408B"/>
    <w:rsid w:val="1EE431DC"/>
    <w:rsid w:val="20794A7C"/>
    <w:rsid w:val="20910C6A"/>
    <w:rsid w:val="23E8121D"/>
    <w:rsid w:val="25572444"/>
    <w:rsid w:val="25A31FD7"/>
    <w:rsid w:val="263A0F33"/>
    <w:rsid w:val="27845BFA"/>
    <w:rsid w:val="2B0630D6"/>
    <w:rsid w:val="2DAF3836"/>
    <w:rsid w:val="3172061C"/>
    <w:rsid w:val="31A80EEB"/>
    <w:rsid w:val="33A0056B"/>
    <w:rsid w:val="37EC7B64"/>
    <w:rsid w:val="38491973"/>
    <w:rsid w:val="39175693"/>
    <w:rsid w:val="3B48390F"/>
    <w:rsid w:val="3E597625"/>
    <w:rsid w:val="40F5568C"/>
    <w:rsid w:val="42415ABD"/>
    <w:rsid w:val="42AC6701"/>
    <w:rsid w:val="43E767E6"/>
    <w:rsid w:val="44DF6BCA"/>
    <w:rsid w:val="45DC7219"/>
    <w:rsid w:val="479E6B1D"/>
    <w:rsid w:val="482401CB"/>
    <w:rsid w:val="4AA82E6A"/>
    <w:rsid w:val="4B62434F"/>
    <w:rsid w:val="51300FC9"/>
    <w:rsid w:val="549306F2"/>
    <w:rsid w:val="54AE6361"/>
    <w:rsid w:val="58277BFD"/>
    <w:rsid w:val="58570671"/>
    <w:rsid w:val="592B2E90"/>
    <w:rsid w:val="59681662"/>
    <w:rsid w:val="59E52B52"/>
    <w:rsid w:val="5CE32A6A"/>
    <w:rsid w:val="619B2D8D"/>
    <w:rsid w:val="64557078"/>
    <w:rsid w:val="65BC2A92"/>
    <w:rsid w:val="6C397691"/>
    <w:rsid w:val="6E756F0F"/>
    <w:rsid w:val="708F34B8"/>
    <w:rsid w:val="736A27D1"/>
    <w:rsid w:val="74032042"/>
    <w:rsid w:val="74F30457"/>
    <w:rsid w:val="7594447E"/>
    <w:rsid w:val="79F11526"/>
    <w:rsid w:val="7A3600E4"/>
    <w:rsid w:val="7BDE1C28"/>
    <w:rsid w:val="7E58035E"/>
    <w:rsid w:val="7E6134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280" w:firstLineChars="100"/>
    </w:pPr>
    <w:rPr>
      <w:sz w:val="28"/>
    </w:rPr>
  </w:style>
  <w:style w:type="paragraph" w:styleId="5">
    <w:name w:val="Plain Text"/>
    <w:basedOn w:val="1"/>
    <w:link w:val="24"/>
    <w:qFormat/>
    <w:uiPriority w:val="0"/>
    <w:pPr>
      <w:spacing w:line="360" w:lineRule="auto"/>
      <w:ind w:left="200" w:leftChars="200"/>
    </w:pPr>
    <w:rPr>
      <w:rFonts w:ascii="宋体" w:hAnsi="Courier New" w:cs="Courier New" w:eastAsiaTheme="minorEastAsia"/>
      <w:sz w:val="24"/>
      <w:szCs w:val="21"/>
    </w:rPr>
  </w:style>
  <w:style w:type="paragraph" w:styleId="6">
    <w:name w:val="Body Text Indent 2"/>
    <w:basedOn w:val="1"/>
    <w:link w:val="26"/>
    <w:unhideWhenUsed/>
    <w:qFormat/>
    <w:uiPriority w:val="99"/>
    <w:pPr>
      <w:spacing w:after="120" w:line="480" w:lineRule="auto"/>
      <w:ind w:left="420" w:leftChars="200"/>
    </w:p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Emphasis"/>
    <w:qFormat/>
    <w:uiPriority w:val="20"/>
    <w:rPr>
      <w:i/>
      <w:iCs/>
    </w:rPr>
  </w:style>
  <w:style w:type="paragraph" w:customStyle="1" w:styleId="17">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character" w:customStyle="1" w:styleId="18">
    <w:name w:val="页眉 Char"/>
    <w:basedOn w:val="13"/>
    <w:link w:val="9"/>
    <w:qFormat/>
    <w:uiPriority w:val="99"/>
    <w:rPr>
      <w:rFonts w:ascii="Times New Roman" w:hAnsi="Times New Roman" w:eastAsia="宋体" w:cs="Times New Roman"/>
      <w:sz w:val="18"/>
      <w:szCs w:val="18"/>
    </w:rPr>
  </w:style>
  <w:style w:type="character" w:customStyle="1" w:styleId="19">
    <w:name w:val="页脚 Char"/>
    <w:basedOn w:val="13"/>
    <w:link w:val="8"/>
    <w:qFormat/>
    <w:uiPriority w:val="99"/>
    <w:rPr>
      <w:rFonts w:ascii="Times New Roman" w:hAnsi="Times New Roman" w:eastAsia="宋体" w:cs="Times New Roman"/>
      <w:sz w:val="18"/>
      <w:szCs w:val="18"/>
    </w:rPr>
  </w:style>
  <w:style w:type="character" w:customStyle="1" w:styleId="20">
    <w:name w:val="批注框文本 Char"/>
    <w:basedOn w:val="13"/>
    <w:link w:val="7"/>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styleId="22">
    <w:name w:val="List Paragraph"/>
    <w:basedOn w:val="1"/>
    <w:qFormat/>
    <w:uiPriority w:val="99"/>
    <w:pPr>
      <w:ind w:firstLine="420" w:firstLineChars="200"/>
    </w:pPr>
  </w:style>
  <w:style w:type="character" w:customStyle="1" w:styleId="23">
    <w:name w:val="纯文本 Char"/>
    <w:link w:val="5"/>
    <w:qFormat/>
    <w:uiPriority w:val="0"/>
    <w:rPr>
      <w:rFonts w:ascii="宋体" w:hAnsi="Courier New" w:cs="Courier New"/>
      <w:kern w:val="2"/>
      <w:sz w:val="24"/>
      <w:szCs w:val="21"/>
    </w:rPr>
  </w:style>
  <w:style w:type="character" w:customStyle="1" w:styleId="24">
    <w:name w:val="纯文本 Char1"/>
    <w:basedOn w:val="13"/>
    <w:link w:val="5"/>
    <w:semiHidden/>
    <w:qFormat/>
    <w:uiPriority w:val="99"/>
    <w:rPr>
      <w:rFonts w:ascii="宋体" w:hAnsi="Courier New" w:eastAsia="宋体" w:cs="Courier New"/>
      <w:kern w:val="2"/>
      <w:sz w:val="21"/>
      <w:szCs w:val="21"/>
    </w:rPr>
  </w:style>
  <w:style w:type="paragraph" w:customStyle="1" w:styleId="25">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26">
    <w:name w:val="正文文本缩进 2 Char"/>
    <w:basedOn w:val="13"/>
    <w:link w:val="6"/>
    <w:qFormat/>
    <w:uiPriority w:val="99"/>
    <w:rPr>
      <w:kern w:val="2"/>
      <w:sz w:val="21"/>
    </w:rPr>
  </w:style>
  <w:style w:type="character" w:customStyle="1" w:styleId="27">
    <w:name w:val="layui-layer-tabnow"/>
    <w:basedOn w:val="13"/>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9FA48-65AF-4951-9F07-055FB75BA9C3}">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2509</Words>
  <Characters>14302</Characters>
  <Lines>119</Lines>
  <Paragraphs>33</Paragraphs>
  <TotalTime>3</TotalTime>
  <ScaleCrop>false</ScaleCrop>
  <LinksUpToDate>false</LinksUpToDate>
  <CharactersWithSpaces>16778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2020-11-18T07:19:30Z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