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合肥市房地产经营公司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default" w:ascii="Arial" w:hAnsi="Arial" w:eastAsia="宋体" w:cs="Arial"/>
                <w:b/>
                <w:sz w:val="30"/>
                <w:szCs w:val="30"/>
                <w:lang w:val="en-US" w:eastAsia="zh-CN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szCs w:val="21"/>
              </w:rPr>
              <w:sym w:font="Wingdings 2" w:char="0052"/>
            </w:r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r>
              <w:rPr>
                <w:rFonts w:hint="eastAsia"/>
                <w:b/>
                <w:spacing w:val="-2"/>
                <w:szCs w:val="21"/>
              </w:rPr>
              <w:t>　</w:t>
            </w:r>
          </w:p>
          <w:p>
            <w:bookmarkStart w:id="4" w:name="审核类型ZB"/>
            <w:r>
              <w:rPr>
                <w:rFonts w:hint="eastAsia"/>
                <w:b/>
                <w:szCs w:val="21"/>
              </w:rPr>
              <w:t>能源管理体系：初次认证第（二）阶段</w:t>
            </w:r>
            <w:bookmarkEnd w:id="4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1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Cs w:val="21"/>
                <w:lang w:val="en-US" w:eastAsia="zh-CN"/>
              </w:rPr>
              <w:t>提供《公司用能结构表》、《项目用能结构表》公司及项目2019年用能407.29、21133kgce；占比1.89%——故不建议在公司总部或物业科建立能源基准。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bookmarkStart w:id="5" w:name="_GoBack"/>
            <w:bookmarkEnd w:id="5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14.05pt;margin-top:2.2pt;height:19.9pt;width:168.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-37观察项（建议项）03版)</w:t>
                </w:r>
              </w:p>
            </w:txbxContent>
          </v:textbox>
        </v:shape>
      </w:pict>
    </w:r>
    <w:r>
      <w:rPr>
        <w:rStyle w:val="9"/>
        <w:rFonts w:hint="default"/>
        <w:w w:val="90"/>
        <w:sz w:val="18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8147529"/>
    <w:rsid w:val="1E40407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26</Words>
  <Characters>149</Characters>
  <Lines>1</Lines>
  <Paragraphs>1</Paragraphs>
  <TotalTime>1</TotalTime>
  <ScaleCrop>false</ScaleCrop>
  <LinksUpToDate>false</LinksUpToDate>
  <CharactersWithSpaces>174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丽英</cp:lastModifiedBy>
  <dcterms:modified xsi:type="dcterms:W3CDTF">2020-11-11T12:09:21Z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