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Add"/>
      <w:r>
        <w:rPr>
          <w:rFonts w:ascii="宋体" w:hAnsi="宋体" w:cs="Arial"/>
          <w:sz w:val="24"/>
        </w:rPr>
        <w:t>0617-2020-QEO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河北名翔通讯器材有限公司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Mingxiang communication equipment Co., Ltd</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任丘市麻家坞镇南马庄村</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(英文)：Nanmazhuang village, Majiawu Town, Renqiu City</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任丘市麻家坞镇南马庄村</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(英文)：Nanmazhuang village, Majiawu Town, Renqiu City</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91130982MA07MQ9Q4B</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13803250639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2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马昆明</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马昆明</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Q：线路铁件、电力金具的生产；钢绞线、钢芯铝绞线、井具及配件、油木杆、电缆桥架、水泥制品、地锚石、标石、光缆箱、机柜的销售</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line iron parts and electric power fittings; sales of steel strand, steel core aluminum strand, well tools and accessories, oil wood pole, cable tray, cement products, ground anchor stone, standard stone, optical cable box and cabinet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rPr>
        <w:t>E：线路铁件、电力金具的生产；钢绞线、钢芯铝绞线、井具及配件、油木杆、电缆桥架、水泥制品、地锚石、标石、光缆箱、机柜的销售所涉及的相关环境管理活动</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of line iron parts and electric power fittings; sales of steel strand, steel core aluminum strand, well tools and accessories, oil wood pole, cable tray, cement products, ground anchor stone, standard stone, optical cable box and cabinet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rPr>
        <w:t>O：线路铁件、电力金具的生产；钢绞线、钢芯铝绞线、井具及配件、油木杆、电缆桥架、水泥制品、地锚石、标石、光缆箱、机柜的销售所涉及的相关职业健康安全管理活动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of line iron parts and electric power fittings; sales of steel strand, steel core aluminum strand, well tools and accessories, oil wood pole, cable tray, cement products, ground anchor stone, standard stone, optical cable box and cabinet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1090" cy="8779510"/>
            <wp:effectExtent l="0" t="0" r="3810" b="8890"/>
            <wp:docPr id="2" name="图片 2" descr="认证材料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认证材料 016"/>
                    <pic:cNvPicPr>
                      <a:picLocks noChangeAspect="1"/>
                    </pic:cNvPicPr>
                  </pic:nvPicPr>
                  <pic:blipFill>
                    <a:blip r:embed="rId10"/>
                    <a:stretch>
                      <a:fillRect/>
                    </a:stretch>
                  </pic:blipFill>
                  <pic:spPr>
                    <a:xfrm>
                      <a:off x="0" y="0"/>
                      <a:ext cx="6181090" cy="8779510"/>
                    </a:xfrm>
                    <a:prstGeom prst="rect">
                      <a:avLst/>
                    </a:prstGeom>
                  </pic:spPr>
                </pic:pic>
              </a:graphicData>
            </a:graphic>
          </wp:inline>
        </w:drawing>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61A1A"/>
    <w:multiLevelType w:val="singleLevel"/>
    <w:tmpl w:val="5AF61A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1156E6"/>
    <w:rsid w:val="47423A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2020-11-20T06:08:10Z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