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rPr>
      </w:pPr>
    </w:p>
    <w:p>
      <w:pPr>
        <w:spacing w:line="480" w:lineRule="exact"/>
        <w:jc w:val="center"/>
        <w:rPr>
          <w:rFonts w:hint="eastAsia" w:eastAsiaTheme="minorEastAsia"/>
          <w:lang w:val="en-US" w:eastAsia="zh-CN"/>
        </w:rPr>
      </w:pPr>
      <w:r>
        <w:rPr>
          <w:rFonts w:hint="eastAsia" w:asciiTheme="minorEastAsia" w:hAnsiTheme="minorEastAsia" w:eastAsiaTheme="minorEastAsia" w:cstheme="minorEastAsia"/>
          <w:bCs/>
          <w:color w:val="000000"/>
          <w:sz w:val="36"/>
          <w:szCs w:val="36"/>
        </w:rPr>
        <w:t>管理体系审核记录表</w:t>
      </w:r>
      <w:r>
        <w:rPr>
          <w:rFonts w:hint="eastAsia" w:asciiTheme="minorEastAsia" w:hAnsiTheme="minorEastAsia" w:eastAsiaTheme="minorEastAsia" w:cstheme="minorEastAsia"/>
          <w:bCs/>
          <w:color w:val="000000"/>
          <w:sz w:val="36"/>
          <w:szCs w:val="36"/>
          <w:lang w:val="en-US" w:eastAsia="zh-CN"/>
        </w:rPr>
        <w:t>1</w:t>
      </w:r>
    </w:p>
    <w:p>
      <w:pPr>
        <w:pStyle w:val="5"/>
      </w:pPr>
    </w:p>
    <w:tbl>
      <w:tblPr>
        <w:tblStyle w:val="9"/>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1070"/>
        <w:gridCol w:w="11595"/>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03" w:type="pct"/>
            <w:vMerge w:val="restart"/>
            <w:noWrap w:val="0"/>
            <w:vAlign w:val="center"/>
          </w:tcPr>
          <w:p>
            <w:pPr>
              <w:spacing w:before="120" w:line="320" w:lineRule="exact"/>
              <w:rPr>
                <w:rFonts w:ascii="Times New Roman" w:hAnsi="Times New Roman"/>
              </w:rPr>
            </w:pPr>
            <w:r>
              <w:rPr>
                <w:rFonts w:ascii="Times New Roman" w:hAnsi="Times New Roman"/>
              </w:rPr>
              <w:t>过程与活动、抽样计划</w:t>
            </w:r>
          </w:p>
        </w:tc>
        <w:tc>
          <w:tcPr>
            <w:tcW w:w="360" w:type="pct"/>
            <w:vMerge w:val="restart"/>
            <w:noWrap w:val="0"/>
            <w:vAlign w:val="center"/>
          </w:tcPr>
          <w:p>
            <w:pPr>
              <w:spacing w:line="320" w:lineRule="exact"/>
              <w:rPr>
                <w:rFonts w:ascii="Times New Roman" w:hAnsi="Times New Roman"/>
              </w:rPr>
            </w:pPr>
            <w:r>
              <w:rPr>
                <w:rFonts w:ascii="Times New Roman" w:hAnsi="Times New Roman"/>
              </w:rPr>
              <w:t>涉及</w:t>
            </w:r>
          </w:p>
          <w:p>
            <w:pPr>
              <w:spacing w:line="320" w:lineRule="exact"/>
              <w:rPr>
                <w:rFonts w:ascii="Times New Roman" w:hAnsi="Times New Roman"/>
              </w:rPr>
            </w:pPr>
            <w:r>
              <w:rPr>
                <w:rFonts w:ascii="Times New Roman" w:hAnsi="Times New Roman"/>
              </w:rPr>
              <w:t>条款</w:t>
            </w:r>
          </w:p>
        </w:tc>
        <w:tc>
          <w:tcPr>
            <w:tcW w:w="3902" w:type="pct"/>
            <w:noWrap w:val="0"/>
            <w:vAlign w:val="center"/>
          </w:tcPr>
          <w:p>
            <w:pPr>
              <w:spacing w:line="320" w:lineRule="exact"/>
              <w:rPr>
                <w:rFonts w:ascii="Times New Roman" w:hAnsi="Times New Roman"/>
              </w:rPr>
            </w:pPr>
            <w:r>
              <w:rPr>
                <w:rFonts w:ascii="Times New Roman" w:hAnsi="Times New Roman"/>
              </w:rPr>
              <w:t>受审核部门：</w:t>
            </w:r>
            <w:r>
              <w:rPr>
                <w:rFonts w:hint="eastAsia" w:ascii="Times New Roman" w:hAnsi="Times New Roman"/>
                <w:lang w:val="en-US" w:eastAsia="zh-CN"/>
              </w:rPr>
              <w:t>经营部</w:t>
            </w:r>
            <w:r>
              <w:rPr>
                <w:rFonts w:ascii="Times New Roman" w:hAnsi="Times New Roman"/>
              </w:rPr>
              <w:t xml:space="preserve">       主管领导：</w:t>
            </w:r>
            <w:r>
              <w:rPr>
                <w:rFonts w:hint="eastAsia"/>
                <w:lang w:val="en-US" w:eastAsia="zh-CN"/>
              </w:rPr>
              <w:t>姚光东</w:t>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陪同人员：</w:t>
            </w:r>
            <w:r>
              <w:rPr>
                <w:rFonts w:hint="eastAsia" w:ascii="Times New Roman" w:hAnsi="Times New Roman"/>
                <w:lang w:val="en-US" w:eastAsia="zh-CN"/>
              </w:rPr>
              <w:t>耿玉雪</w:t>
            </w:r>
            <w:r>
              <w:rPr>
                <w:rFonts w:ascii="Times New Roman" w:hAnsi="Times New Roman"/>
              </w:rPr>
              <w:t xml:space="preserve">  </w:t>
            </w:r>
          </w:p>
        </w:tc>
        <w:tc>
          <w:tcPr>
            <w:tcW w:w="233" w:type="pct"/>
            <w:vMerge w:val="restart"/>
            <w:noWrap w:val="0"/>
            <w:vAlign w:val="center"/>
          </w:tcPr>
          <w:p>
            <w:pPr>
              <w:spacing w:line="320" w:lineRule="exact"/>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03" w:type="pct"/>
            <w:vMerge w:val="continue"/>
            <w:noWrap w:val="0"/>
            <w:vAlign w:val="center"/>
          </w:tcPr>
          <w:p>
            <w:pPr>
              <w:spacing w:line="320" w:lineRule="exact"/>
              <w:rPr>
                <w:rFonts w:ascii="Times New Roman" w:hAnsi="Times New Roman"/>
              </w:rPr>
            </w:pPr>
          </w:p>
        </w:tc>
        <w:tc>
          <w:tcPr>
            <w:tcW w:w="360" w:type="pct"/>
            <w:vMerge w:val="continue"/>
            <w:noWrap w:val="0"/>
            <w:vAlign w:val="center"/>
          </w:tcPr>
          <w:p>
            <w:pPr>
              <w:spacing w:line="320" w:lineRule="exact"/>
              <w:rPr>
                <w:rFonts w:ascii="Times New Roman" w:hAnsi="Times New Roman"/>
              </w:rPr>
            </w:pPr>
          </w:p>
        </w:tc>
        <w:tc>
          <w:tcPr>
            <w:tcW w:w="3902" w:type="pct"/>
            <w:noWrap w:val="0"/>
            <w:vAlign w:val="center"/>
          </w:tcPr>
          <w:p>
            <w:pPr>
              <w:spacing w:before="120" w:line="320" w:lineRule="exact"/>
              <w:rPr>
                <w:rFonts w:hint="default" w:ascii="Times New Roman" w:hAnsi="Times New Roman"/>
                <w:lang w:val="en-US"/>
              </w:rPr>
            </w:pPr>
            <w:r>
              <w:rPr>
                <w:rFonts w:ascii="Times New Roman" w:hAnsi="Times New Roman"/>
              </w:rPr>
              <w:t>审核员：</w:t>
            </w:r>
            <w:r>
              <w:rPr>
                <w:rFonts w:hint="eastAsia" w:ascii="宋体" w:hAnsi="宋体" w:cs="宋体"/>
              </w:rPr>
              <w:t>王志慧</w:t>
            </w:r>
            <w:r>
              <w:rPr>
                <w:rFonts w:ascii="Times New Roman" w:hAnsi="Times New Roman"/>
              </w:rPr>
              <w:t xml:space="preserve">          审核时间：2020.</w:t>
            </w:r>
            <w:r>
              <w:rPr>
                <w:rFonts w:hint="eastAsia" w:ascii="Times New Roman" w:hAnsi="Times New Roman"/>
              </w:rPr>
              <w:t>1</w:t>
            </w:r>
            <w:r>
              <w:rPr>
                <w:rFonts w:hint="eastAsia" w:ascii="Times New Roman" w:hAnsi="Times New Roman"/>
                <w:lang w:val="en-US" w:eastAsia="zh-CN"/>
              </w:rPr>
              <w:t>1</w:t>
            </w:r>
            <w:r>
              <w:rPr>
                <w:rFonts w:hint="eastAsia" w:ascii="Times New Roman" w:hAnsi="Times New Roman"/>
              </w:rPr>
              <w:t>.</w:t>
            </w:r>
            <w:r>
              <w:rPr>
                <w:rFonts w:hint="eastAsia" w:ascii="Times New Roman" w:hAnsi="Times New Roman"/>
                <w:lang w:val="en-US" w:eastAsia="zh-CN"/>
              </w:rPr>
              <w:t>09</w:t>
            </w:r>
          </w:p>
        </w:tc>
        <w:tc>
          <w:tcPr>
            <w:tcW w:w="233"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03" w:type="pct"/>
            <w:vMerge w:val="continue"/>
            <w:noWrap w:val="0"/>
            <w:vAlign w:val="center"/>
          </w:tcPr>
          <w:p>
            <w:pPr>
              <w:spacing w:line="320" w:lineRule="exact"/>
              <w:rPr>
                <w:rFonts w:ascii="Times New Roman" w:hAnsi="Times New Roman"/>
              </w:rPr>
            </w:pPr>
          </w:p>
        </w:tc>
        <w:tc>
          <w:tcPr>
            <w:tcW w:w="360" w:type="pct"/>
            <w:vMerge w:val="continue"/>
            <w:noWrap w:val="0"/>
            <w:vAlign w:val="center"/>
          </w:tcPr>
          <w:p>
            <w:pPr>
              <w:spacing w:line="320" w:lineRule="exact"/>
              <w:rPr>
                <w:rFonts w:ascii="Times New Roman" w:hAnsi="Times New Roman"/>
              </w:rPr>
            </w:pPr>
          </w:p>
        </w:tc>
        <w:tc>
          <w:tcPr>
            <w:tcW w:w="3902" w:type="pct"/>
            <w:noWrap w:val="0"/>
            <w:vAlign w:val="center"/>
          </w:tcPr>
          <w:p>
            <w:pPr>
              <w:spacing w:line="320" w:lineRule="exact"/>
              <w:rPr>
                <w:rFonts w:ascii="Times New Roman" w:hAnsi="Times New Roman"/>
              </w:rPr>
            </w:pPr>
            <w:r>
              <w:rPr>
                <w:rFonts w:ascii="Times New Roman" w:hAnsi="Times New Roman"/>
              </w:rPr>
              <w:t>审核条款：</w:t>
            </w:r>
          </w:p>
        </w:tc>
        <w:tc>
          <w:tcPr>
            <w:tcW w:w="233"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3" w:type="pct"/>
            <w:noWrap w:val="0"/>
            <w:vAlign w:val="top"/>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岗位、职责、权限、责任</w:t>
            </w:r>
          </w:p>
          <w:p>
            <w:pPr>
              <w:rPr>
                <w:rFonts w:ascii="Times New Roman" w:hAnsi="Times New Roman"/>
                <w:color w:val="FF0000"/>
              </w:rPr>
            </w:pPr>
          </w:p>
        </w:tc>
        <w:tc>
          <w:tcPr>
            <w:tcW w:w="360" w:type="pct"/>
            <w:noWrap w:val="0"/>
            <w:vAlign w:val="top"/>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QES:5.3</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JQ：4.3.4</w:t>
            </w:r>
          </w:p>
          <w:p>
            <w:pPr>
              <w:rPr>
                <w:rFonts w:ascii="Times New Roman" w:hAnsi="Times New Roman"/>
                <w:color w:val="FF0000"/>
              </w:rPr>
            </w:pPr>
            <w:r>
              <w:rPr>
                <w:rFonts w:hint="eastAsia" w:asciiTheme="minorEastAsia" w:hAnsiTheme="minorEastAsia" w:eastAsiaTheme="minorEastAsia" w:cstheme="minorEastAsia"/>
                <w:szCs w:val="21"/>
              </w:rPr>
              <w:t>JQ：4.3.5</w:t>
            </w:r>
          </w:p>
        </w:tc>
        <w:tc>
          <w:tcPr>
            <w:tcW w:w="3902" w:type="pct"/>
            <w:noWrap w:val="0"/>
            <w:vAlign w:val="top"/>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经营部  负责人：</w:t>
            </w:r>
            <w:r>
              <w:rPr>
                <w:rFonts w:hint="eastAsia"/>
                <w:szCs w:val="21"/>
              </w:rPr>
              <w:t>姚 光 东</w:t>
            </w:r>
            <w:r>
              <w:rPr>
                <w:rFonts w:hint="eastAsia" w:asciiTheme="minorEastAsia" w:hAnsiTheme="minorEastAsia" w:eastAsiaTheme="minorEastAsia" w:cstheme="minorEastAsia"/>
                <w:szCs w:val="21"/>
              </w:rPr>
              <w:t xml:space="preserve"> </w:t>
            </w:r>
          </w:p>
          <w:p>
            <w:pPr>
              <w:rPr>
                <w:rFonts w:ascii="Times New Roman" w:hAnsi="Times New Roman"/>
                <w:color w:val="FF0000"/>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查《管理手册》5.3条款规定了本部门的职责和权限，部门职责和权限已在公司及部门内部进行了沟通和交流。</w:t>
            </w:r>
          </w:p>
        </w:tc>
        <w:tc>
          <w:tcPr>
            <w:tcW w:w="233" w:type="pct"/>
            <w:noWrap w:val="0"/>
            <w:vAlign w:val="top"/>
          </w:tcPr>
          <w:p>
            <w:pPr>
              <w:spacing w:line="320" w:lineRule="exact"/>
            </w:pPr>
            <w:r>
              <w:rPr>
                <w:rFonts w:hint="eastAsia"/>
              </w:rPr>
              <w:t>OK</w:t>
            </w: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503" w:type="pct"/>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目标、指标及完成情况</w:t>
            </w:r>
          </w:p>
        </w:tc>
        <w:tc>
          <w:tcPr>
            <w:tcW w:w="360" w:type="pct"/>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Q:6.2</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JQ：3.2.3</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JQ：3.2.4</w:t>
            </w:r>
          </w:p>
        </w:tc>
        <w:tc>
          <w:tcPr>
            <w:tcW w:w="3902" w:type="pct"/>
          </w:tcPr>
          <w:p>
            <w:pPr>
              <w:rPr>
                <w:color w:val="auto"/>
              </w:rPr>
            </w:pPr>
            <w:r>
              <w:rPr>
                <w:rFonts w:hint="eastAsia"/>
                <w:color w:val="auto"/>
              </w:rPr>
              <w:sym w:font="Wingdings 2" w:char="F098"/>
            </w:r>
            <w:r>
              <w:rPr>
                <w:rFonts w:hint="eastAsia"/>
                <w:color w:val="auto"/>
              </w:rPr>
              <w:t>经营部部门目标：                             考核情况（2020.10.10）</w:t>
            </w:r>
          </w:p>
          <w:p>
            <w:pPr>
              <w:rPr>
                <w:color w:val="auto"/>
                <w:szCs w:val="22"/>
              </w:rPr>
            </w:pPr>
            <w:r>
              <w:rPr>
                <w:rFonts w:hint="eastAsia"/>
                <w:color w:val="auto"/>
                <w:szCs w:val="22"/>
              </w:rPr>
              <w:t>顾客满意度≥90%</w:t>
            </w:r>
            <w:r>
              <w:rPr>
                <w:color w:val="auto"/>
                <w:szCs w:val="22"/>
              </w:rPr>
              <w:t xml:space="preserve">                                  </w:t>
            </w:r>
            <w:r>
              <w:rPr>
                <w:rFonts w:hint="eastAsia"/>
                <w:color w:val="auto"/>
                <w:szCs w:val="21"/>
              </w:rPr>
              <w:t>9</w:t>
            </w:r>
            <w:r>
              <w:rPr>
                <w:color w:val="auto"/>
                <w:szCs w:val="21"/>
              </w:rPr>
              <w:t>6</w:t>
            </w:r>
            <w:r>
              <w:rPr>
                <w:rFonts w:hint="eastAsia"/>
                <w:color w:val="auto"/>
                <w:szCs w:val="21"/>
              </w:rPr>
              <w:t>%</w:t>
            </w:r>
          </w:p>
          <w:p>
            <w:pPr>
              <w:rPr>
                <w:color w:val="auto"/>
                <w:szCs w:val="22"/>
              </w:rPr>
            </w:pPr>
            <w:r>
              <w:rPr>
                <w:rFonts w:hint="eastAsia"/>
                <w:color w:val="auto"/>
                <w:szCs w:val="22"/>
              </w:rPr>
              <w:t>火灾发生率0</w:t>
            </w:r>
            <w:r>
              <w:rPr>
                <w:color w:val="auto"/>
                <w:szCs w:val="22"/>
              </w:rPr>
              <w:t xml:space="preserve">                                       </w:t>
            </w:r>
            <w:r>
              <w:rPr>
                <w:rFonts w:hint="eastAsia"/>
                <w:color w:val="auto"/>
                <w:szCs w:val="22"/>
              </w:rPr>
              <w:t>0</w:t>
            </w:r>
          </w:p>
          <w:p>
            <w:pPr>
              <w:rPr>
                <w:color w:val="auto"/>
                <w:szCs w:val="22"/>
              </w:rPr>
            </w:pPr>
            <w:r>
              <w:rPr>
                <w:rFonts w:hint="eastAsia"/>
                <w:color w:val="auto"/>
                <w:szCs w:val="22"/>
              </w:rPr>
              <w:t>固体废物分类收集处置率100%</w:t>
            </w:r>
            <w:r>
              <w:rPr>
                <w:color w:val="auto"/>
                <w:szCs w:val="22"/>
              </w:rPr>
              <w:t xml:space="preserve">                       </w:t>
            </w:r>
            <w:r>
              <w:rPr>
                <w:rFonts w:hint="eastAsia"/>
                <w:color w:val="auto"/>
                <w:szCs w:val="22"/>
              </w:rPr>
              <w:t>100%</w:t>
            </w:r>
          </w:p>
          <w:p>
            <w:pPr>
              <w:spacing w:line="440" w:lineRule="exact"/>
              <w:rPr>
                <w:color w:val="auto"/>
                <w:szCs w:val="22"/>
              </w:rPr>
            </w:pPr>
            <w:r>
              <w:rPr>
                <w:rFonts w:hint="eastAsia"/>
                <w:color w:val="auto"/>
                <w:szCs w:val="22"/>
              </w:rPr>
              <w:t>意外伤害为0</w:t>
            </w:r>
            <w:r>
              <w:rPr>
                <w:color w:val="auto"/>
                <w:szCs w:val="22"/>
              </w:rPr>
              <w:t xml:space="preserve">                                       </w:t>
            </w:r>
            <w:r>
              <w:rPr>
                <w:rFonts w:hint="eastAsia"/>
                <w:color w:val="auto"/>
                <w:szCs w:val="22"/>
              </w:rPr>
              <w:t>0</w:t>
            </w:r>
          </w:p>
          <w:p>
            <w:pPr>
              <w:spacing w:line="440" w:lineRule="exact"/>
              <w:rPr>
                <w:color w:val="auto"/>
                <w:szCs w:val="21"/>
              </w:rPr>
            </w:pPr>
            <w:r>
              <w:rPr>
                <w:rFonts w:hint="eastAsia"/>
                <w:color w:val="auto"/>
              </w:rPr>
              <w:sym w:font="Wingdings 2" w:char="F098"/>
            </w:r>
            <w:r>
              <w:rPr>
                <w:rFonts w:hint="eastAsia"/>
                <w:color w:val="auto"/>
              </w:rPr>
              <w:t>每季度进行一次考核，</w:t>
            </w:r>
            <w:r>
              <w:rPr>
                <w:rFonts w:hint="eastAsia"/>
                <w:color w:val="auto"/>
                <w:szCs w:val="21"/>
              </w:rPr>
              <w:t>顾客满意度为每年统计一次。</w:t>
            </w:r>
          </w:p>
          <w:p>
            <w:pPr>
              <w:spacing w:line="440" w:lineRule="exact"/>
              <w:rPr>
                <w:color w:val="auto"/>
              </w:rPr>
            </w:pPr>
            <w:r>
              <w:rPr>
                <w:rFonts w:hint="eastAsia"/>
                <w:color w:val="auto"/>
              </w:rPr>
              <w:t>目标基本实现。</w:t>
            </w:r>
            <w:r>
              <w:rPr>
                <w:rFonts w:hint="eastAsia" w:ascii="宋体" w:hAnsi="宋体"/>
                <w:color w:val="auto"/>
                <w:szCs w:val="21"/>
              </w:rPr>
              <w:t>考核人：戴 田 辉   批准：姚 光 东   日期：2020年</w:t>
            </w:r>
            <w:r>
              <w:rPr>
                <w:rFonts w:ascii="宋体" w:hAnsi="宋体"/>
                <w:color w:val="auto"/>
                <w:szCs w:val="21"/>
              </w:rPr>
              <w:t>10</w:t>
            </w:r>
            <w:r>
              <w:rPr>
                <w:rFonts w:hint="eastAsia" w:ascii="宋体" w:hAnsi="宋体"/>
                <w:color w:val="auto"/>
                <w:szCs w:val="21"/>
              </w:rPr>
              <w:t>月10日</w:t>
            </w:r>
          </w:p>
        </w:tc>
        <w:tc>
          <w:tcPr>
            <w:tcW w:w="233" w:type="pct"/>
          </w:tcPr>
          <w:p>
            <w:pPr>
              <w:spacing w:line="320" w:lineRule="exact"/>
            </w:pPr>
            <w:r>
              <w:rPr>
                <w:rFonts w:hint="eastAsia"/>
              </w:rPr>
              <w:t>OK</w:t>
            </w:r>
          </w:p>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503" w:type="pc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招投标、合同管理</w:t>
            </w:r>
          </w:p>
        </w:tc>
        <w:tc>
          <w:tcPr>
            <w:tcW w:w="360" w:type="pct"/>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Q：8.2</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JQ：6.1</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JQ：6.2</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JQ：6.3</w:t>
            </w:r>
          </w:p>
        </w:tc>
        <w:tc>
          <w:tcPr>
            <w:tcW w:w="3902" w:type="pct"/>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招投标、合同管理，</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查文件：</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制定了《标书及合同管理程序》包涵了规范要求的工程项目投标及工程合同管理制度，明确了投标与工程合同管理的控制流程。</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跟负责人沟通：</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1、公司通过招投标、市场开拓及客户介绍等其他方式获得合同。</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2、通过资格预审、招标答疑、招标书、电话、现场拜访、网络和与业主的交流。</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3、需了解业主明示的要求、未明示但必须满足的、与项目相关的法律法规/行业的技术和规范要求及企业的相关要求。</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4、投标或签订合同前，公司通过会议、网络及文件方式对以上业主要求、公司的技术能力/施工能力/财务能力及需面对的风险和机遇进行评审；评审通过后依法进行投标及签订合同。</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5、合同签订后，经营部  组织，通过会议、培训、书面等各种方式跟工程部、项目部等进行合同交底。</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6、在合同履行过程中，业主、监理、设计等各方提出合同的变更需要书面签认，作为合同的组成部分；按规定进行合同更改信息交流，做相应工程信息的更改。</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7、跟发包方保持沟通，进行合同履约分析，包括工程进行中和完工后；并定期分析、评价合同履行情况；保存合同变更、会议纪要、函件、通知等履约内容，确保工程和服务质量。</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查记录及执行情况：</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负责人介绍，以上项目施工过程中履约情况良好，未发现不良情况发生。</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合同变更：负责人介绍说：公司合同签订后几乎没有修改变更，一般都是在评审过程中反复修改，最后定稿。如有变动，以补充协议的形式附加在后面，作为对合同的补充条款。</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以上合同未见变更。</w:t>
            </w:r>
          </w:p>
        </w:tc>
        <w:tc>
          <w:tcPr>
            <w:tcW w:w="233" w:type="pct"/>
          </w:tcPr>
          <w:p>
            <w:pPr>
              <w:spacing w:line="320" w:lineRule="exact"/>
            </w:pPr>
            <w:r>
              <w:rPr>
                <w:rFonts w:hint="eastAsia"/>
              </w:rPr>
              <w:t>OK</w:t>
            </w:r>
          </w:p>
          <w:p>
            <w:pPr>
              <w:rPr>
                <w:rFonts w:asciiTheme="minorEastAsia" w:hAnsiTheme="minorEastAsia" w:eastAsiaTheme="minorEastAsia" w:cstheme="minorEastAsia"/>
                <w:szCs w:val="21"/>
              </w:rPr>
            </w:pPr>
          </w:p>
        </w:tc>
      </w:tr>
    </w:tbl>
    <w:p>
      <w:pPr>
        <w:pStyle w:val="5"/>
      </w:pPr>
    </w:p>
    <w:p>
      <w:pPr>
        <w:pStyle w:val="5"/>
      </w:pPr>
    </w:p>
    <w:p>
      <w:pPr>
        <w:spacing w:line="480" w:lineRule="exact"/>
        <w:jc w:val="center"/>
        <w:rPr>
          <w:rFonts w:ascii="隶书" w:hAnsi="宋体" w:eastAsia="隶书"/>
          <w:color w:val="000000"/>
          <w:sz w:val="36"/>
          <w:szCs w:val="36"/>
        </w:rPr>
      </w:pPr>
      <w:r>
        <w:rPr>
          <w:rFonts w:hint="eastAsia" w:ascii="隶书" w:hAnsi="宋体" w:eastAsia="隶书" w:cs="隶书"/>
          <w:color w:val="000000"/>
          <w:sz w:val="36"/>
          <w:szCs w:val="36"/>
        </w:rPr>
        <w:t>管理体系审核记录表</w:t>
      </w:r>
    </w:p>
    <w:p>
      <w:pPr>
        <w:pStyle w:val="5"/>
      </w:pPr>
    </w:p>
    <w:tbl>
      <w:tblPr>
        <w:tblStyle w:val="9"/>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1060"/>
        <w:gridCol w:w="1155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01" w:type="pct"/>
            <w:vMerge w:val="restart"/>
            <w:noWrap w:val="0"/>
            <w:vAlign w:val="center"/>
          </w:tcPr>
          <w:p>
            <w:pPr>
              <w:spacing w:before="120" w:line="320" w:lineRule="exact"/>
              <w:rPr>
                <w:rFonts w:ascii="Times New Roman" w:hAnsi="Times New Roman"/>
              </w:rPr>
            </w:pPr>
            <w:r>
              <w:rPr>
                <w:rFonts w:ascii="Times New Roman" w:hAnsi="Times New Roman"/>
              </w:rPr>
              <w:t>过程与活动、抽样计划</w:t>
            </w:r>
          </w:p>
        </w:tc>
        <w:tc>
          <w:tcPr>
            <w:tcW w:w="357" w:type="pct"/>
            <w:vMerge w:val="restart"/>
            <w:noWrap w:val="0"/>
            <w:vAlign w:val="center"/>
          </w:tcPr>
          <w:p>
            <w:pPr>
              <w:spacing w:line="320" w:lineRule="exact"/>
              <w:rPr>
                <w:rFonts w:ascii="Times New Roman" w:hAnsi="Times New Roman"/>
              </w:rPr>
            </w:pPr>
            <w:r>
              <w:rPr>
                <w:rFonts w:ascii="Times New Roman" w:hAnsi="Times New Roman"/>
              </w:rPr>
              <w:t>涉及</w:t>
            </w:r>
          </w:p>
          <w:p>
            <w:pPr>
              <w:spacing w:line="320" w:lineRule="exact"/>
              <w:rPr>
                <w:rFonts w:ascii="Times New Roman" w:hAnsi="Times New Roman"/>
              </w:rPr>
            </w:pPr>
            <w:r>
              <w:rPr>
                <w:rFonts w:ascii="Times New Roman" w:hAnsi="Times New Roman"/>
              </w:rPr>
              <w:t>条款</w:t>
            </w:r>
          </w:p>
        </w:tc>
        <w:tc>
          <w:tcPr>
            <w:tcW w:w="3892" w:type="pct"/>
            <w:noWrap w:val="0"/>
            <w:vAlign w:val="center"/>
          </w:tcPr>
          <w:p>
            <w:pPr>
              <w:spacing w:line="320" w:lineRule="exact"/>
              <w:rPr>
                <w:rFonts w:ascii="Times New Roman" w:hAnsi="Times New Roman"/>
              </w:rPr>
            </w:pPr>
            <w:r>
              <w:rPr>
                <w:rFonts w:ascii="Times New Roman" w:hAnsi="Times New Roman"/>
              </w:rPr>
              <w:t>受审核部门：</w:t>
            </w:r>
            <w:r>
              <w:rPr>
                <w:rFonts w:hint="eastAsia" w:ascii="Times New Roman" w:hAnsi="Times New Roman"/>
                <w:lang w:val="en-US" w:eastAsia="zh-CN"/>
              </w:rPr>
              <w:t>采购部</w:t>
            </w:r>
            <w:r>
              <w:rPr>
                <w:rFonts w:ascii="Times New Roman" w:hAnsi="Times New Roman"/>
              </w:rPr>
              <w:t xml:space="preserve">       主管领导：</w:t>
            </w:r>
            <w:r>
              <w:rPr>
                <w:rFonts w:hint="eastAsia"/>
                <w:lang w:val="en-US" w:eastAsia="zh-CN"/>
              </w:rPr>
              <w:t>周莹莹</w:t>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陪同人员：</w:t>
            </w:r>
            <w:r>
              <w:rPr>
                <w:rFonts w:hint="eastAsia" w:ascii="Times New Roman" w:hAnsi="Times New Roman"/>
                <w:lang w:val="en-US" w:eastAsia="zh-CN"/>
              </w:rPr>
              <w:t>耿玉雪</w:t>
            </w:r>
            <w:r>
              <w:rPr>
                <w:rFonts w:ascii="Times New Roman" w:hAnsi="Times New Roman"/>
              </w:rPr>
              <w:t xml:space="preserve">  </w:t>
            </w:r>
          </w:p>
        </w:tc>
        <w:tc>
          <w:tcPr>
            <w:tcW w:w="249" w:type="pct"/>
            <w:vMerge w:val="restart"/>
            <w:noWrap w:val="0"/>
            <w:vAlign w:val="center"/>
          </w:tcPr>
          <w:p>
            <w:pPr>
              <w:spacing w:line="320" w:lineRule="exact"/>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01" w:type="pct"/>
            <w:vMerge w:val="continue"/>
            <w:noWrap w:val="0"/>
            <w:vAlign w:val="center"/>
          </w:tcPr>
          <w:p>
            <w:pPr>
              <w:spacing w:line="320" w:lineRule="exact"/>
              <w:rPr>
                <w:rFonts w:ascii="Times New Roman" w:hAnsi="Times New Roman"/>
              </w:rPr>
            </w:pPr>
          </w:p>
        </w:tc>
        <w:tc>
          <w:tcPr>
            <w:tcW w:w="357" w:type="pct"/>
            <w:vMerge w:val="continue"/>
            <w:noWrap w:val="0"/>
            <w:vAlign w:val="center"/>
          </w:tcPr>
          <w:p>
            <w:pPr>
              <w:spacing w:line="320" w:lineRule="exact"/>
              <w:rPr>
                <w:rFonts w:ascii="Times New Roman" w:hAnsi="Times New Roman"/>
              </w:rPr>
            </w:pPr>
          </w:p>
        </w:tc>
        <w:tc>
          <w:tcPr>
            <w:tcW w:w="3892" w:type="pct"/>
            <w:noWrap w:val="0"/>
            <w:vAlign w:val="center"/>
          </w:tcPr>
          <w:p>
            <w:pPr>
              <w:spacing w:before="120" w:line="320" w:lineRule="exact"/>
              <w:rPr>
                <w:rFonts w:ascii="Times New Roman" w:hAnsi="Times New Roman"/>
              </w:rPr>
            </w:pPr>
            <w:r>
              <w:rPr>
                <w:rFonts w:ascii="Times New Roman" w:hAnsi="Times New Roman"/>
              </w:rPr>
              <w:t>审核员：</w:t>
            </w:r>
            <w:r>
              <w:rPr>
                <w:rFonts w:hint="eastAsia" w:ascii="宋体" w:hAnsi="宋体" w:cs="宋体"/>
              </w:rPr>
              <w:t>王志慧</w:t>
            </w:r>
            <w:r>
              <w:rPr>
                <w:rFonts w:ascii="Times New Roman" w:hAnsi="Times New Roman"/>
              </w:rPr>
              <w:t xml:space="preserve">         审核时间：2020.</w:t>
            </w:r>
            <w:r>
              <w:rPr>
                <w:rFonts w:hint="eastAsia" w:ascii="Times New Roman" w:hAnsi="Times New Roman"/>
              </w:rPr>
              <w:t>1</w:t>
            </w:r>
            <w:r>
              <w:rPr>
                <w:rFonts w:hint="eastAsia" w:ascii="Times New Roman" w:hAnsi="Times New Roman"/>
                <w:lang w:val="en-US" w:eastAsia="zh-CN"/>
              </w:rPr>
              <w:t>1</w:t>
            </w:r>
            <w:r>
              <w:rPr>
                <w:rFonts w:hint="eastAsia" w:ascii="Times New Roman" w:hAnsi="Times New Roman"/>
              </w:rPr>
              <w:t>.</w:t>
            </w:r>
            <w:r>
              <w:rPr>
                <w:rFonts w:hint="eastAsia" w:ascii="Times New Roman" w:hAnsi="Times New Roman"/>
                <w:lang w:val="en-US" w:eastAsia="zh-CN"/>
              </w:rPr>
              <w:t>09</w:t>
            </w:r>
          </w:p>
        </w:tc>
        <w:tc>
          <w:tcPr>
            <w:tcW w:w="249"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01" w:type="pct"/>
            <w:vMerge w:val="continue"/>
            <w:noWrap w:val="0"/>
            <w:vAlign w:val="center"/>
          </w:tcPr>
          <w:p>
            <w:pPr>
              <w:spacing w:line="320" w:lineRule="exact"/>
              <w:rPr>
                <w:rFonts w:ascii="Times New Roman" w:hAnsi="Times New Roman"/>
              </w:rPr>
            </w:pPr>
          </w:p>
        </w:tc>
        <w:tc>
          <w:tcPr>
            <w:tcW w:w="357" w:type="pct"/>
            <w:vMerge w:val="continue"/>
            <w:noWrap w:val="0"/>
            <w:vAlign w:val="center"/>
          </w:tcPr>
          <w:p>
            <w:pPr>
              <w:spacing w:line="320" w:lineRule="exact"/>
              <w:rPr>
                <w:rFonts w:ascii="Times New Roman" w:hAnsi="Times New Roman"/>
              </w:rPr>
            </w:pPr>
          </w:p>
        </w:tc>
        <w:tc>
          <w:tcPr>
            <w:tcW w:w="3892" w:type="pct"/>
            <w:noWrap w:val="0"/>
            <w:vAlign w:val="center"/>
          </w:tcPr>
          <w:p>
            <w:pPr>
              <w:spacing w:line="320" w:lineRule="exact"/>
              <w:rPr>
                <w:rFonts w:ascii="Times New Roman" w:hAnsi="Times New Roman"/>
              </w:rPr>
            </w:pPr>
            <w:r>
              <w:rPr>
                <w:rFonts w:ascii="Times New Roman" w:hAnsi="Times New Roman"/>
              </w:rPr>
              <w:t>审核条款：</w:t>
            </w:r>
          </w:p>
        </w:tc>
        <w:tc>
          <w:tcPr>
            <w:tcW w:w="249"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01" w:type="pc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岗位、职责、权限、责任</w:t>
            </w:r>
          </w:p>
          <w:p>
            <w:pPr>
              <w:rPr>
                <w:rFonts w:asciiTheme="minorEastAsia" w:hAnsiTheme="minorEastAsia" w:eastAsiaTheme="minorEastAsia" w:cstheme="minorEastAsia"/>
                <w:szCs w:val="21"/>
              </w:rPr>
            </w:pPr>
          </w:p>
        </w:tc>
        <w:tc>
          <w:tcPr>
            <w:tcW w:w="357" w:type="pc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QES:5.3</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JQ：4.3.4</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JQ：4.3.5</w:t>
            </w:r>
          </w:p>
        </w:tc>
        <w:tc>
          <w:tcPr>
            <w:tcW w:w="3892" w:type="pc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采购部  负责人：</w:t>
            </w:r>
            <w:r>
              <w:rPr>
                <w:rFonts w:hint="eastAsia"/>
                <w:szCs w:val="21"/>
              </w:rPr>
              <w:t xml:space="preserve">周 莹 莹 </w:t>
            </w:r>
            <w:r>
              <w:rPr>
                <w:rFonts w:hint="eastAsia" w:asciiTheme="minorEastAsia" w:hAnsiTheme="minorEastAsia" w:eastAsiaTheme="minorEastAsia" w:cstheme="minorEastAsia"/>
                <w:szCs w:val="21"/>
              </w:rPr>
              <w:t xml:space="preserve"> </w:t>
            </w:r>
          </w:p>
          <w:p>
            <w:pPr>
              <w:spacing w:line="440" w:lineRule="exact"/>
              <w:ind w:left="525" w:leftChars="250"/>
              <w:jc w:val="left"/>
              <w:rPr>
                <w:rFonts w:ascii="宋体" w:hAnsi="宋体"/>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查《管理手册》5.3条款规定了本部门的职责和权限，</w:t>
            </w:r>
          </w:p>
          <w:p>
            <w:r>
              <w:rPr>
                <w:rFonts w:hint="eastAsia" w:asciiTheme="minorEastAsia" w:hAnsiTheme="minorEastAsia" w:eastAsiaTheme="minorEastAsia" w:cstheme="minorEastAsia"/>
                <w:szCs w:val="21"/>
              </w:rPr>
              <w:t>部门职责和权限已在公司及部门内部进行了沟通和交流。</w:t>
            </w:r>
          </w:p>
        </w:tc>
        <w:tc>
          <w:tcPr>
            <w:tcW w:w="249" w:type="pct"/>
          </w:tcPr>
          <w:p>
            <w:pPr>
              <w:spacing w:line="320" w:lineRule="exact"/>
            </w:pPr>
            <w:r>
              <w:rPr>
                <w:rFonts w:hint="eastAsia"/>
              </w:rPr>
              <w:t>OK</w:t>
            </w:r>
          </w:p>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01" w:type="pc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目标、指标及完成情况</w:t>
            </w:r>
          </w:p>
        </w:tc>
        <w:tc>
          <w:tcPr>
            <w:tcW w:w="357" w:type="pct"/>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Q:6.2</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JQ：3.2.3</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JQ：3.2.4</w:t>
            </w:r>
          </w:p>
        </w:tc>
        <w:tc>
          <w:tcPr>
            <w:tcW w:w="3892" w:type="pct"/>
          </w:tcPr>
          <w:p>
            <w:pPr>
              <w:rPr>
                <w:color w:val="auto"/>
              </w:rPr>
            </w:pPr>
            <w:r>
              <w:rPr>
                <w:rFonts w:hint="eastAsia"/>
                <w:color w:val="auto"/>
              </w:rPr>
              <w:sym w:font="Wingdings 2" w:char="F098"/>
            </w:r>
            <w:r>
              <w:rPr>
                <w:rFonts w:hint="eastAsia"/>
                <w:color w:val="auto"/>
              </w:rPr>
              <w:t>采购部部门目标：                             考核情况（2020.10.10）</w:t>
            </w:r>
          </w:p>
          <w:p>
            <w:pPr>
              <w:rPr>
                <w:color w:val="auto"/>
                <w:szCs w:val="22"/>
              </w:rPr>
            </w:pPr>
            <w:r>
              <w:rPr>
                <w:rFonts w:hint="eastAsia"/>
                <w:color w:val="auto"/>
                <w:szCs w:val="22"/>
              </w:rPr>
              <w:t>采购产品合格率达到100%</w:t>
            </w:r>
            <w:r>
              <w:rPr>
                <w:color w:val="auto"/>
                <w:szCs w:val="22"/>
              </w:rPr>
              <w:t xml:space="preserve">                                     </w:t>
            </w:r>
            <w:r>
              <w:rPr>
                <w:rFonts w:hint="eastAsia"/>
                <w:color w:val="auto"/>
                <w:szCs w:val="22"/>
              </w:rPr>
              <w:t>100%</w:t>
            </w:r>
          </w:p>
          <w:p>
            <w:pPr>
              <w:rPr>
                <w:color w:val="auto"/>
                <w:szCs w:val="22"/>
              </w:rPr>
            </w:pPr>
            <w:r>
              <w:rPr>
                <w:rFonts w:hint="eastAsia"/>
                <w:color w:val="auto"/>
                <w:szCs w:val="22"/>
              </w:rPr>
              <w:t xml:space="preserve">合格供方评审率100％ </w:t>
            </w:r>
            <w:r>
              <w:rPr>
                <w:color w:val="auto"/>
                <w:szCs w:val="22"/>
              </w:rPr>
              <w:t xml:space="preserve">                                       </w:t>
            </w:r>
            <w:r>
              <w:rPr>
                <w:rFonts w:hint="eastAsia"/>
                <w:color w:val="auto"/>
                <w:szCs w:val="22"/>
              </w:rPr>
              <w:t>100%</w:t>
            </w:r>
          </w:p>
          <w:p>
            <w:pPr>
              <w:rPr>
                <w:color w:val="auto"/>
                <w:szCs w:val="22"/>
              </w:rPr>
            </w:pPr>
            <w:r>
              <w:rPr>
                <w:rFonts w:hint="eastAsia"/>
                <w:color w:val="auto"/>
                <w:szCs w:val="22"/>
              </w:rPr>
              <w:t>固体废物分类收集处置率100%</w:t>
            </w:r>
            <w:r>
              <w:rPr>
                <w:color w:val="auto"/>
                <w:szCs w:val="22"/>
              </w:rPr>
              <w:t xml:space="preserve">                                 </w:t>
            </w:r>
            <w:r>
              <w:rPr>
                <w:rFonts w:hint="eastAsia"/>
                <w:color w:val="auto"/>
                <w:szCs w:val="22"/>
              </w:rPr>
              <w:t>100%</w:t>
            </w:r>
          </w:p>
          <w:p>
            <w:pPr>
              <w:rPr>
                <w:color w:val="auto"/>
                <w:szCs w:val="22"/>
              </w:rPr>
            </w:pPr>
            <w:r>
              <w:rPr>
                <w:rFonts w:hint="eastAsia"/>
                <w:color w:val="auto"/>
                <w:szCs w:val="22"/>
              </w:rPr>
              <w:t>火灾事故为0</w:t>
            </w:r>
            <w:r>
              <w:rPr>
                <w:color w:val="auto"/>
                <w:szCs w:val="22"/>
              </w:rPr>
              <w:t xml:space="preserve">                                                   0</w:t>
            </w:r>
          </w:p>
          <w:p>
            <w:pPr>
              <w:spacing w:line="440" w:lineRule="exact"/>
              <w:rPr>
                <w:color w:val="auto"/>
              </w:rPr>
            </w:pPr>
            <w:r>
              <w:rPr>
                <w:rFonts w:hint="eastAsia"/>
                <w:color w:val="auto"/>
              </w:rPr>
              <w:t>每季度进行一次考核，目标基本实现。</w:t>
            </w:r>
            <w:r>
              <w:rPr>
                <w:rFonts w:hint="eastAsia" w:ascii="宋体" w:hAnsi="宋体"/>
                <w:color w:val="auto"/>
                <w:szCs w:val="21"/>
              </w:rPr>
              <w:t>考核人：戴 田 辉   批准：姚 光 东   日期：2020年</w:t>
            </w:r>
            <w:r>
              <w:rPr>
                <w:rFonts w:ascii="宋体" w:hAnsi="宋体"/>
                <w:color w:val="auto"/>
                <w:szCs w:val="21"/>
              </w:rPr>
              <w:t>10</w:t>
            </w:r>
            <w:r>
              <w:rPr>
                <w:rFonts w:hint="eastAsia" w:ascii="宋体" w:hAnsi="宋体"/>
                <w:color w:val="auto"/>
                <w:szCs w:val="21"/>
              </w:rPr>
              <w:t>月10日</w:t>
            </w:r>
          </w:p>
        </w:tc>
        <w:tc>
          <w:tcPr>
            <w:tcW w:w="249" w:type="pct"/>
          </w:tcPr>
          <w:p>
            <w:pPr>
              <w:spacing w:line="320" w:lineRule="exact"/>
              <w:rPr>
                <w:color w:val="auto"/>
              </w:rPr>
            </w:pPr>
            <w:r>
              <w:rPr>
                <w:rFonts w:hint="eastAsia"/>
                <w:color w:val="auto"/>
              </w:rPr>
              <w:t>OK</w:t>
            </w:r>
          </w:p>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501" w:type="pct"/>
          </w:tcPr>
          <w:p>
            <w:pPr>
              <w:spacing w:line="360" w:lineRule="auto"/>
              <w:rPr>
                <w:rFonts w:asciiTheme="minorEastAsia" w:hAnsiTheme="minorEastAsia" w:eastAsiaTheme="minorEastAsia" w:cstheme="minorEastAsia"/>
                <w:szCs w:val="21"/>
              </w:rPr>
            </w:pPr>
            <w:r>
              <w:rPr>
                <w:rFonts w:hint="eastAsia"/>
              </w:rPr>
              <w:t>外部提供过程、产品和服务的控制</w:t>
            </w:r>
          </w:p>
        </w:tc>
        <w:tc>
          <w:tcPr>
            <w:tcW w:w="357" w:type="pct"/>
          </w:tcPr>
          <w:p>
            <w:pPr>
              <w:spacing w:line="360" w:lineRule="auto"/>
            </w:pPr>
            <w:r>
              <w:rPr>
                <w:rFonts w:hint="eastAsia" w:ascii="宋体" w:hAnsi="宋体" w:cs="宋体"/>
                <w:color w:val="000000" w:themeColor="text1"/>
                <w:szCs w:val="21"/>
              </w:rPr>
              <w:t>Q8.4</w:t>
            </w:r>
          </w:p>
          <w:p>
            <w:pPr>
              <w:spacing w:line="360" w:lineRule="auto"/>
              <w:rPr>
                <w:rFonts w:asciiTheme="minorEastAsia" w:hAnsiTheme="minorEastAsia" w:eastAsiaTheme="minorEastAsia" w:cstheme="minorEastAsia"/>
                <w:szCs w:val="21"/>
              </w:rPr>
            </w:pPr>
            <w:r>
              <w:rPr>
                <w:rFonts w:hint="eastAsia" w:ascii="宋体" w:hAnsi="宋体" w:cs="宋体"/>
                <w:color w:val="000000" w:themeColor="text1"/>
                <w:szCs w:val="21"/>
              </w:rPr>
              <w:t>J8.2-8.4</w:t>
            </w:r>
          </w:p>
        </w:tc>
        <w:tc>
          <w:tcPr>
            <w:tcW w:w="3892" w:type="pct"/>
            <w:vAlign w:val="center"/>
          </w:tcPr>
          <w:p>
            <w:pPr>
              <w:rPr>
                <w:rFonts w:hint="eastAsia" w:asciiTheme="minorEastAsia" w:hAnsiTheme="minorEastAsia" w:eastAsiaTheme="minorEastAsia" w:cstheme="minorEastAsia"/>
                <w:szCs w:val="21"/>
              </w:rPr>
            </w:pPr>
            <w:r>
              <w:rPr>
                <w:rFonts w:hint="eastAsia"/>
                <w:szCs w:val="21"/>
              </w:rPr>
              <w:t>编制了《</w:t>
            </w:r>
            <w:r>
              <w:rPr>
                <w:rFonts w:hint="eastAsia"/>
              </w:rPr>
              <w:t>外部提供过程控制程序</w:t>
            </w:r>
            <w:r>
              <w:rPr>
                <w:rFonts w:hint="eastAsia"/>
                <w:szCs w:val="21"/>
              </w:rPr>
              <w:t>》，明确了根据派交单，编制采购单。对供方进行定期评价，内容包括：供方规模、市场信誉、供货能力；供方的供货期、付款方式；供方质量保证能力等内容。经由总经理确认后，纳入公司合格供方。提供有《</w:t>
            </w:r>
            <w:bookmarkStart w:id="0" w:name="_Hlk56615750"/>
            <w:r>
              <w:rPr>
                <w:rFonts w:hint="eastAsia"/>
                <w:szCs w:val="21"/>
              </w:rPr>
              <w:t>合格供方名录</w:t>
            </w:r>
            <w:bookmarkEnd w:id="0"/>
            <w:r>
              <w:rPr>
                <w:rFonts w:hint="eastAsia"/>
                <w:szCs w:val="21"/>
              </w:rPr>
              <w:t>》</w:t>
            </w:r>
          </w:p>
        </w:tc>
        <w:tc>
          <w:tcPr>
            <w:tcW w:w="249" w:type="pct"/>
          </w:tcPr>
          <w:p>
            <w:pPr>
              <w:spacing w:line="320" w:lineRule="exact"/>
            </w:pPr>
            <w:r>
              <w:rPr>
                <w:rFonts w:hint="eastAsia"/>
              </w:rPr>
              <w:t>OK</w:t>
            </w:r>
          </w:p>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01" w:type="pct"/>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分包管理</w:t>
            </w:r>
          </w:p>
          <w:p>
            <w:pPr>
              <w:pStyle w:val="2"/>
              <w:rPr>
                <w:rFonts w:asciiTheme="minorEastAsia" w:hAnsiTheme="minorEastAsia" w:eastAsiaTheme="minorEastAsia" w:cstheme="minorEastAsia"/>
                <w:color w:val="auto"/>
                <w:szCs w:val="21"/>
              </w:rPr>
            </w:pPr>
          </w:p>
        </w:tc>
        <w:tc>
          <w:tcPr>
            <w:tcW w:w="357" w:type="pct"/>
          </w:tcPr>
          <w:p>
            <w:pPr>
              <w:spacing w:line="360" w:lineRule="auto"/>
              <w:rPr>
                <w:rFonts w:hint="eastAsia" w:asciiTheme="minorEastAsia" w:hAnsiTheme="minorEastAsia" w:eastAsiaTheme="minorEastAsia" w:cstheme="minorEastAsia"/>
                <w:color w:val="auto"/>
                <w:szCs w:val="21"/>
              </w:rPr>
            </w:pPr>
            <w:r>
              <w:rPr>
                <w:rFonts w:hint="eastAsia" w:ascii="宋体" w:hAnsi="宋体" w:cs="宋体"/>
                <w:color w:val="auto"/>
                <w:szCs w:val="21"/>
              </w:rPr>
              <w:t>Q8.4</w:t>
            </w:r>
          </w:p>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J9.1-9.2</w:t>
            </w:r>
          </w:p>
          <w:p>
            <w:pPr>
              <w:spacing w:line="360" w:lineRule="auto"/>
              <w:ind w:firstLine="308" w:firstLineChars="147"/>
              <w:rPr>
                <w:rFonts w:asciiTheme="minorEastAsia" w:hAnsiTheme="minorEastAsia" w:eastAsiaTheme="minorEastAsia" w:cstheme="minorEastAsia"/>
                <w:color w:val="auto"/>
                <w:szCs w:val="21"/>
              </w:rPr>
            </w:pPr>
          </w:p>
        </w:tc>
        <w:tc>
          <w:tcPr>
            <w:tcW w:w="3892" w:type="pct"/>
            <w:vAlign w:val="center"/>
          </w:tcPr>
          <w:p>
            <w:pPr>
              <w:pStyle w:val="2"/>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有分包管理：</w:t>
            </w:r>
          </w:p>
          <w:p>
            <w:pPr>
              <w:pStyle w:val="2"/>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b w:val="0"/>
                <w:bCs/>
                <w:sz w:val="21"/>
                <w:szCs w:val="21"/>
              </w:rPr>
              <w:t>钢结构分包</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工程名称：安徽博显智能科技有限公司1#厂房</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该项目在轻钢结构安装阶段使用起重机械为特种设备，该工程外包</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见分包合同，安全生产技术协议，</w:t>
            </w:r>
          </w:p>
        </w:tc>
        <w:tc>
          <w:tcPr>
            <w:tcW w:w="249" w:type="pct"/>
          </w:tcPr>
          <w:p>
            <w:pPr>
              <w:rPr>
                <w:rFonts w:asciiTheme="minorEastAsia" w:hAnsiTheme="minorEastAsia" w:eastAsiaTheme="minorEastAsia" w:cstheme="minorEastAsia"/>
                <w:szCs w:val="21"/>
              </w:rPr>
            </w:pPr>
          </w:p>
        </w:tc>
      </w:tr>
    </w:tbl>
    <w:p>
      <w:pPr>
        <w:pStyle w:val="5"/>
      </w:pPr>
    </w:p>
    <w:p>
      <w:pPr>
        <w:pStyle w:val="5"/>
      </w:pPr>
    </w:p>
    <w:p>
      <w:pPr>
        <w:pStyle w:val="5"/>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418"/>
        <w:gridCol w:w="10799"/>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过程与活动、</w:t>
            </w:r>
          </w:p>
          <w:p>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抽样计划</w:t>
            </w:r>
          </w:p>
        </w:tc>
        <w:tc>
          <w:tcPr>
            <w:tcW w:w="1418" w:type="dxa"/>
            <w:vMerge w:val="restart"/>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涉及</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条款</w:t>
            </w:r>
          </w:p>
        </w:tc>
        <w:tc>
          <w:tcPr>
            <w:tcW w:w="1079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受审核部门：工程部</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含房建、市政、水利项</w:t>
            </w:r>
            <w:bookmarkStart w:id="1" w:name="_GoBack"/>
            <w:bookmarkEnd w:id="1"/>
            <w:r>
              <w:rPr>
                <w:rFonts w:hint="eastAsia" w:asciiTheme="minorEastAsia" w:hAnsiTheme="minorEastAsia" w:eastAsiaTheme="minorEastAsia" w:cstheme="minorEastAsia"/>
                <w:b w:val="0"/>
                <w:bCs/>
                <w:sz w:val="21"/>
                <w:szCs w:val="21"/>
                <w:lang w:val="en-US" w:eastAsia="zh-CN"/>
              </w:rPr>
              <w:t>目部</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 xml:space="preserve">           主管领导：卢正安             陪同人员：耿玉雪</w:t>
            </w:r>
          </w:p>
        </w:tc>
        <w:tc>
          <w:tcPr>
            <w:tcW w:w="683" w:type="dxa"/>
            <w:vMerge w:val="restart"/>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hint="eastAsia" w:asciiTheme="minorEastAsia" w:hAnsiTheme="minorEastAsia" w:eastAsiaTheme="minorEastAsia" w:cstheme="minorEastAsia"/>
                <w:b w:val="0"/>
                <w:bCs/>
                <w:sz w:val="21"/>
                <w:szCs w:val="21"/>
              </w:rPr>
            </w:pPr>
          </w:p>
        </w:tc>
        <w:tc>
          <w:tcPr>
            <w:tcW w:w="1418" w:type="dxa"/>
            <w:vMerge w:val="continue"/>
            <w:vAlign w:val="center"/>
          </w:tcPr>
          <w:p>
            <w:pPr>
              <w:rPr>
                <w:rFonts w:hint="eastAsia" w:asciiTheme="minorEastAsia" w:hAnsiTheme="minorEastAsia" w:eastAsiaTheme="minorEastAsia" w:cstheme="minorEastAsia"/>
                <w:b w:val="0"/>
                <w:bCs/>
                <w:sz w:val="21"/>
                <w:szCs w:val="21"/>
              </w:rPr>
            </w:pPr>
          </w:p>
        </w:tc>
        <w:tc>
          <w:tcPr>
            <w:tcW w:w="10799" w:type="dxa"/>
            <w:vAlign w:val="center"/>
          </w:tcPr>
          <w:p>
            <w:pPr>
              <w:spacing w:before="120"/>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rPr>
              <w:t>审核员：</w:t>
            </w:r>
            <w:r>
              <w:rPr>
                <w:rFonts w:hint="eastAsia" w:asciiTheme="minorEastAsia" w:hAnsiTheme="minorEastAsia" w:eastAsiaTheme="minorEastAsia" w:cstheme="minorEastAsia"/>
                <w:b w:val="0"/>
                <w:bCs/>
                <w:sz w:val="21"/>
                <w:szCs w:val="21"/>
                <w:lang w:val="en-US" w:eastAsia="zh-CN"/>
              </w:rPr>
              <w:t>王志慧</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王胜龙</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专家）</w:t>
            </w:r>
            <w:r>
              <w:rPr>
                <w:rFonts w:hint="eastAsia" w:asciiTheme="minorEastAsia" w:hAnsiTheme="minorEastAsia" w:eastAsiaTheme="minorEastAsia" w:cstheme="minorEastAsia"/>
                <w:b w:val="0"/>
                <w:bCs/>
                <w:sz w:val="21"/>
                <w:szCs w:val="21"/>
              </w:rPr>
              <w:t xml:space="preserve">                审核时间：2020.11.</w:t>
            </w:r>
            <w:r>
              <w:rPr>
                <w:rFonts w:hint="eastAsia" w:asciiTheme="minorEastAsia" w:hAnsiTheme="minorEastAsia" w:eastAsiaTheme="minorEastAsia" w:cstheme="minorEastAsia"/>
                <w:b w:val="0"/>
                <w:bCs/>
                <w:sz w:val="21"/>
                <w:szCs w:val="21"/>
                <w:lang w:val="en-US" w:eastAsia="zh-CN"/>
              </w:rPr>
              <w:t>9-</w:t>
            </w:r>
            <w:r>
              <w:rPr>
                <w:rFonts w:hint="eastAsia" w:asciiTheme="minorEastAsia" w:hAnsiTheme="minorEastAsia" w:eastAsiaTheme="minorEastAsia" w:cstheme="minorEastAsia"/>
                <w:b w:val="0"/>
                <w:bCs/>
                <w:sz w:val="21"/>
                <w:szCs w:val="21"/>
              </w:rPr>
              <w:t>1</w:t>
            </w:r>
            <w:r>
              <w:rPr>
                <w:rFonts w:hint="eastAsia" w:asciiTheme="minorEastAsia" w:hAnsiTheme="minorEastAsia" w:eastAsiaTheme="minorEastAsia" w:cstheme="minorEastAsia"/>
                <w:b w:val="0"/>
                <w:bCs/>
                <w:sz w:val="21"/>
                <w:szCs w:val="21"/>
                <w:lang w:val="en-US" w:eastAsia="zh-CN"/>
              </w:rPr>
              <w:t>0</w:t>
            </w:r>
          </w:p>
        </w:tc>
        <w:tc>
          <w:tcPr>
            <w:tcW w:w="683" w:type="dxa"/>
            <w:vMerge w:val="continue"/>
          </w:tcPr>
          <w:p>
            <w:pPr>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hint="eastAsia" w:asciiTheme="minorEastAsia" w:hAnsiTheme="minorEastAsia" w:eastAsiaTheme="minorEastAsia" w:cstheme="minorEastAsia"/>
                <w:b w:val="0"/>
                <w:bCs/>
                <w:sz w:val="21"/>
                <w:szCs w:val="21"/>
              </w:rPr>
            </w:pPr>
          </w:p>
        </w:tc>
        <w:tc>
          <w:tcPr>
            <w:tcW w:w="1418" w:type="dxa"/>
            <w:vMerge w:val="continue"/>
            <w:vAlign w:val="center"/>
          </w:tcPr>
          <w:p>
            <w:pPr>
              <w:rPr>
                <w:rFonts w:hint="eastAsia" w:asciiTheme="minorEastAsia" w:hAnsiTheme="minorEastAsia" w:eastAsiaTheme="minorEastAsia" w:cstheme="minorEastAsia"/>
                <w:b w:val="0"/>
                <w:bCs/>
                <w:sz w:val="21"/>
                <w:szCs w:val="21"/>
              </w:rPr>
            </w:pPr>
          </w:p>
        </w:tc>
        <w:tc>
          <w:tcPr>
            <w:tcW w:w="10799" w:type="dxa"/>
            <w:vAlign w:val="center"/>
          </w:tcPr>
          <w:p>
            <w:pPr>
              <w:spacing w:line="260" w:lineRule="exac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审核条款：</w:t>
            </w:r>
          </w:p>
          <w:p>
            <w:pPr>
              <w:spacing w:line="260" w:lineRule="exac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Q5.3/6.2/7.1.3/7.1.4/7.1.5/8.1/8.5/8.6/8.7</w:t>
            </w:r>
          </w:p>
          <w:p>
            <w:pPr>
              <w:spacing w:line="260" w:lineRule="exac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JQ4.3/3.2.3/7/9/10/11/12.5</w:t>
            </w:r>
          </w:p>
        </w:tc>
        <w:tc>
          <w:tcPr>
            <w:tcW w:w="683" w:type="dxa"/>
            <w:vMerge w:val="continue"/>
          </w:tcPr>
          <w:p>
            <w:pPr>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0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组织的岗位、职责权限</w:t>
            </w:r>
          </w:p>
        </w:tc>
        <w:tc>
          <w:tcPr>
            <w:tcW w:w="1418"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Q5.3</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J4.3</w:t>
            </w:r>
          </w:p>
        </w:tc>
        <w:tc>
          <w:tcPr>
            <w:tcW w:w="1079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工程部负责人：卢正安</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主要负责：工程实现的策划并编制施工组织设计，对项目的质量、进度和安全环保进行控制检查；工程的质量检查、参与分部工程的评定和工程的验收；基础设施的总体控制；参与投标；工程合同签订 ；工程联络；合同评审；顾客沟通情况；顾客满意度调查情况；公司原材料采购，合格供方评审工作；环境因素危险源的识别与控制、公司目标方案的执行、应急准备和相应等。</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负责人对本部门的职责和权限以及工作流程清楚、明确完成本部门的目标指标。能较好回答部门质量职责，对工作要求明确。</w:t>
            </w:r>
          </w:p>
        </w:tc>
        <w:tc>
          <w:tcPr>
            <w:tcW w:w="683" w:type="dxa"/>
          </w:tcPr>
          <w:p>
            <w:pPr>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目标和方案</w:t>
            </w:r>
          </w:p>
        </w:tc>
        <w:tc>
          <w:tcPr>
            <w:tcW w:w="1418"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Q6.2</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J3.2.4</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J3.2.4</w:t>
            </w:r>
          </w:p>
        </w:tc>
        <w:tc>
          <w:tcPr>
            <w:tcW w:w="1079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部门目标：</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工程一次性交验合格率100%；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火灾发生率0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对原材料进行检验100%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施工设备完好率100%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机械伤害发生率0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工程项目任务完成率100%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固废分类收集处置率100%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重大事故发生率0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--提供了2020年1-3季度目标考核表：</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工程一次性交验合格率100%；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火灾发生率0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对原材料进行检验100%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施工设备完好率100%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机械伤害发生率0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工程项目任务完成率100%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固废分类收集处置率100%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重大事故发生率0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经查显示目标均已完成。</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对以上的目标指标制定了管理方案：</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每季度组织一次对目标、指标管理方案进行程度、完成情况的考核，提供安全目标、指标考核记录，2020年1-3季度的目标、指标管理方案完成情况考核，达到了目标要求。</w:t>
            </w:r>
          </w:p>
        </w:tc>
        <w:tc>
          <w:tcPr>
            <w:tcW w:w="683" w:type="dxa"/>
          </w:tcPr>
          <w:p>
            <w:pPr>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80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基础设施</w:t>
            </w:r>
          </w:p>
        </w:tc>
        <w:tc>
          <w:tcPr>
            <w:tcW w:w="1418"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7.1.3(7.1/7.3/7.4/10.5.5)</w:t>
            </w:r>
          </w:p>
        </w:tc>
        <w:tc>
          <w:tcPr>
            <w:tcW w:w="1079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基础设施</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1、公司拥有办公楼一座，单层建筑面积450平米，在建项目部的基础设施详见在建项目部审核。</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2、配备了办公室、并配备有办公桌椅，水电、空调、会议室、消防设施设备，并有电脑、打印机、电话、传真机、复印机等办公设备；满足办公需要。</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3、工程设备</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1）自有：翻斗车、后八轮、抽水泵、小型挖掘机砂、角向磨光机、切割锯、发电机、角磨机等</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2）租赁设备：根据具体项目需要确定，详见在建项目审核</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4、环保安全设施：</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垃圾桶、消防管线；安全设施配置主要有：围栏、标识牌、灭火器、消防器材等，项目部定期维护与保养。</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提供维修保养计划及记录，满足要求。</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--抽：维修保养计划及记录。</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 xml:space="preserve">翻斗车 </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 xml:space="preserve">   全面检修     2020.3.25</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工程部</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 xml:space="preserve">后八轮 </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 xml:space="preserve">   全面检修</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 xml:space="preserve">    2020.3.25   工程部</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   砂浆搅拌机</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全面检修</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2020.3.25</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工程部</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4、小型挖掘机   全面检修</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2020.3.25</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工程部</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编制人：卢正安   批准人：刘桂新     日期：2020.3.25</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--抽：砂浆搅拌机等检修记录，检修内容：全面检修，检修人：王全，验收人：卢正安，验证结论：经全面检修后，该设备运行情况良好。检修内容记录较简单，没有针对性已经口头交流。</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公司无特种设备，如果需要，根据具体施工内容进行租赁。</w:t>
            </w:r>
          </w:p>
        </w:tc>
        <w:tc>
          <w:tcPr>
            <w:tcW w:w="683" w:type="dxa"/>
          </w:tcPr>
          <w:p>
            <w:pPr>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80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工作环境</w:t>
            </w:r>
          </w:p>
        </w:tc>
        <w:tc>
          <w:tcPr>
            <w:tcW w:w="1418"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7.1.4(10.5.1)</w:t>
            </w:r>
          </w:p>
        </w:tc>
        <w:tc>
          <w:tcPr>
            <w:tcW w:w="1079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策划并制定了《工作环境和管理要求》，办公区域面积：设置会议室、档案室、办公室等，办公区域工作环境整洁，办公场所宽敞明亮，配置了空调，灭火器等；</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现场配备灭火器，消火栓。</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运行环境，现场巡查，测量设备及工程资料等放置整齐，基本满足要求。</w:t>
            </w:r>
          </w:p>
        </w:tc>
        <w:tc>
          <w:tcPr>
            <w:tcW w:w="683" w:type="dxa"/>
          </w:tcPr>
          <w:p>
            <w:pPr>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80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监视和测量资源</w:t>
            </w:r>
          </w:p>
        </w:tc>
        <w:tc>
          <w:tcPr>
            <w:tcW w:w="1418"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7.1.5(11.1.2、11.5)</w:t>
            </w:r>
          </w:p>
        </w:tc>
        <w:tc>
          <w:tcPr>
            <w:tcW w:w="1079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监测资源：绝缘摇表、万用表、钢卷尺、经纬仪、水准仪等，提供检定合格证书，见附件。监视和测量资源搬运、储存维护满足要求，状态标识符合要求。无不当调整及失准监视和测量，满足要求。工程部规定每年定期送检。</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制定了《钢卷尺、卷尺内部校准规程》、《混凝土试模内部校准规程》、《坍落度筒内部校准规程》，未能提绝缘摇表、万用表、钢卷尺、经纬仪、水准仪校准或鉴定的证据。</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监视和测量资源搬运、储存维护保养满足要求。</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无不当调整及失准监视和测量。</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无计算机软件使用与确认。</w:t>
            </w:r>
          </w:p>
        </w:tc>
        <w:tc>
          <w:tcPr>
            <w:tcW w:w="683" w:type="dxa"/>
          </w:tcPr>
          <w:p>
            <w:pPr>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0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设计和开发</w:t>
            </w:r>
          </w:p>
        </w:tc>
        <w:tc>
          <w:tcPr>
            <w:tcW w:w="1418"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Q8.3J10.3</w:t>
            </w:r>
          </w:p>
        </w:tc>
        <w:tc>
          <w:tcPr>
            <w:tcW w:w="10799" w:type="dxa"/>
            <w:vAlign w:val="center"/>
          </w:tcPr>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项目部依据业主提供图纸进行施工，只进行施工过程策划，在Q8.1、J10.1.1、10.2条款里描述。</w:t>
            </w:r>
          </w:p>
        </w:tc>
        <w:tc>
          <w:tcPr>
            <w:tcW w:w="683" w:type="dxa"/>
          </w:tcPr>
          <w:p>
            <w:pPr>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1809" w:type="dxa"/>
            <w:vAlign w:val="center"/>
          </w:tcPr>
          <w:p>
            <w:pPr>
              <w:rPr>
                <w:rFonts w:hint="eastAsia" w:asciiTheme="minorEastAsia" w:hAnsiTheme="minorEastAsia" w:eastAsiaTheme="minorEastAsia" w:cstheme="minorEastAsia"/>
                <w:b w:val="0"/>
                <w:bCs/>
                <w:sz w:val="21"/>
                <w:szCs w:val="21"/>
              </w:rPr>
            </w:pPr>
          </w:p>
        </w:tc>
        <w:tc>
          <w:tcPr>
            <w:tcW w:w="1418" w:type="dxa"/>
            <w:vAlign w:val="center"/>
          </w:tcPr>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8.1/10.2</w:t>
            </w: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tc>
        <w:tc>
          <w:tcPr>
            <w:tcW w:w="10799" w:type="dxa"/>
            <w:vAlign w:val="center"/>
          </w:tcPr>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主要负责项目的设备提供，有施工任务时，根据中标通知书，合同书，委派项目部经理及技术负责人。</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面谈人员：工程部部长卢正安</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工程部根据项目中标通知书，合同书，组建项目部。</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在建工程项目见在建项目记录 </w:t>
            </w:r>
          </w:p>
          <w:p>
            <w:pPr>
              <w:ind w:firstLine="210" w:firstLineChars="1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二、质量要求：符合国家现行工程施工质量验收规范合格标准，执行标准规范按：</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1、《公路工程技术标准》（JTG  B01-2014）</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2、《公路工程质量检验评定标准》（JTG  F80/1-2017）</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3、《公路路基路面现场测试规程》（JTG  E60-2008）</w:t>
            </w:r>
          </w:p>
          <w:p>
            <w:pPr>
              <w:spacing w:line="440" w:lineRule="exact"/>
              <w:ind w:firstLine="315" w:firstLineChars="1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《建筑工程质量验收统一标准》GB50300-2013；</w:t>
            </w:r>
          </w:p>
          <w:p>
            <w:pPr>
              <w:spacing w:line="440" w:lineRule="exact"/>
              <w:ind w:firstLine="315" w:firstLineChars="1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2）《建筑地基基础工程施工质量验收规范》GB50202-2012；</w:t>
            </w:r>
          </w:p>
          <w:p>
            <w:pPr>
              <w:spacing w:line="440" w:lineRule="exact"/>
              <w:ind w:firstLine="315" w:firstLineChars="1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3）《砌体工程施工质量验收规范》GB50203-2011</w:t>
            </w:r>
          </w:p>
          <w:p>
            <w:pPr>
              <w:spacing w:line="440" w:lineRule="exact"/>
              <w:ind w:firstLine="315" w:firstLineChars="1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4）《混凝土结构工程施工质量验收规范》GB50204-2015；</w:t>
            </w:r>
          </w:p>
          <w:p>
            <w:pPr>
              <w:spacing w:line="440" w:lineRule="exact"/>
              <w:ind w:firstLine="315" w:firstLineChars="1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5）《屋面工程质量验收规范》GB50207-2012；</w:t>
            </w:r>
          </w:p>
          <w:p>
            <w:pPr>
              <w:spacing w:line="440" w:lineRule="exact"/>
              <w:ind w:firstLine="315" w:firstLineChars="1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6）《建筑地面工程施工质量验收规范》GB50209-2010</w:t>
            </w:r>
          </w:p>
          <w:p>
            <w:pPr>
              <w:spacing w:line="440" w:lineRule="exact"/>
              <w:ind w:firstLine="315" w:firstLineChars="1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7）《建筑装饰装修工程质量验收规范》GB50210-2011；</w:t>
            </w:r>
          </w:p>
          <w:p>
            <w:pPr>
              <w:spacing w:line="440" w:lineRule="exact"/>
              <w:ind w:firstLine="315" w:firstLineChars="1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8）《建筑给水排水及及采暖工程施工质量验收规范》GB50242-2002；</w:t>
            </w:r>
          </w:p>
          <w:p>
            <w:pPr>
              <w:spacing w:line="440" w:lineRule="exact"/>
              <w:ind w:firstLine="315" w:firstLineChars="1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9）《建筑电气工程施工质量验收规范》GB50303-2011；</w:t>
            </w:r>
          </w:p>
          <w:p>
            <w:pPr>
              <w:spacing w:line="440" w:lineRule="exact"/>
              <w:ind w:firstLine="210" w:firstLineChars="1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10）《建筑施工安全检查标准》JGJ59-2011 ；</w:t>
            </w:r>
          </w:p>
          <w:p>
            <w:pPr>
              <w:spacing w:line="440" w:lineRule="exact"/>
              <w:ind w:firstLine="210" w:firstLineChars="1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11）《建筑机械使用安全技术规程》JGJ33-2012。</w:t>
            </w:r>
          </w:p>
          <w:p>
            <w:pPr>
              <w:rPr>
                <w:rFonts w:hint="eastAsia" w:asciiTheme="minorEastAsia" w:hAnsiTheme="minorEastAsia" w:eastAsiaTheme="minorEastAsia" w:cstheme="minorEastAsia"/>
                <w:b w:val="0"/>
                <w:bCs/>
                <w:color w:val="auto"/>
                <w:sz w:val="21"/>
                <w:szCs w:val="21"/>
                <w:highlight w:val="none"/>
              </w:rPr>
            </w:pP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三、</w:t>
            </w:r>
            <w:r>
              <w:rPr>
                <w:rFonts w:hint="eastAsia" w:asciiTheme="minorEastAsia" w:hAnsiTheme="minorEastAsia" w:eastAsiaTheme="minorEastAsia" w:cstheme="minorEastAsia"/>
                <w:b w:val="0"/>
                <w:bCs/>
                <w:color w:val="auto"/>
                <w:sz w:val="21"/>
                <w:szCs w:val="21"/>
                <w:highlight w:val="none"/>
              </w:rPr>
              <w:t>工艺流程：签订合同—组建项目部—编制施工组织设计—开工报告—组织施工→过程检验—分部分项验收—竣工验收—交付及交付后的活动。</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四、</w:t>
            </w:r>
            <w:r>
              <w:rPr>
                <w:rFonts w:hint="eastAsia" w:asciiTheme="minorEastAsia" w:hAnsiTheme="minorEastAsia" w:eastAsiaTheme="minorEastAsia" w:cstheme="minorEastAsia"/>
                <w:b w:val="0"/>
                <w:bCs/>
                <w:color w:val="auto"/>
                <w:sz w:val="21"/>
                <w:szCs w:val="21"/>
                <w:highlight w:val="none"/>
              </w:rPr>
              <w:t>该工程执行标准同前</w:t>
            </w:r>
          </w:p>
          <w:p>
            <w:pPr>
              <w:ind w:left="630" w:leftChars="250" w:hanging="105" w:hangingChars="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--查项目部执行建设部统一的质量记录，且提供了统一的质量验收记录目录清单和相应的记录表式，如《工程材料、构备件、设备报审表》、《施工日志》等。符合要求。</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五、</w:t>
            </w:r>
            <w:r>
              <w:rPr>
                <w:rFonts w:hint="eastAsia" w:asciiTheme="minorEastAsia" w:hAnsiTheme="minorEastAsia" w:eastAsiaTheme="minorEastAsia" w:cstheme="minorEastAsia"/>
                <w:b w:val="0"/>
                <w:bCs/>
                <w:color w:val="auto"/>
                <w:sz w:val="21"/>
                <w:szCs w:val="21"/>
                <w:highlight w:val="none"/>
              </w:rPr>
              <w:t>交付及交付后的活动</w:t>
            </w:r>
          </w:p>
          <w:p>
            <w:pPr>
              <w:ind w:left="514" w:left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根据合同要求，当顾客提出保修要求时，经工程部确认属于公司应承担的工作时，应以书面形式通知项目部，由项目部根据服务内容会同项目部经理确定维修服务，经主管经理批准，组织现场保修服务；现场保修服务完成后，服务活动的结果应请顾客书面确认，填写《工程保修单》，报工程部。暂时无保修服务。</w:t>
            </w:r>
          </w:p>
        </w:tc>
        <w:tc>
          <w:tcPr>
            <w:tcW w:w="683" w:type="dxa"/>
          </w:tcPr>
          <w:p>
            <w:pPr>
              <w:rPr>
                <w:rFonts w:hint="eastAsia" w:asciiTheme="minorEastAsia" w:hAnsiTheme="minorEastAsia" w:eastAsiaTheme="minorEastAsia" w:cstheme="minorEastAsia"/>
                <w:b w:val="0"/>
                <w:bCs/>
                <w:sz w:val="21"/>
                <w:szCs w:val="21"/>
              </w:rPr>
            </w:pPr>
          </w:p>
        </w:tc>
      </w:tr>
    </w:tbl>
    <w:p>
      <w:pPr>
        <w:pStyle w:val="5"/>
      </w:pPr>
    </w:p>
    <w:p>
      <w:pPr>
        <w:spacing w:line="480" w:lineRule="exact"/>
        <w:jc w:val="center"/>
        <w:rPr>
          <w:rFonts w:hint="eastAsia" w:ascii="隶书" w:hAnsi="宋体" w:eastAsia="隶书" w:cs="隶书"/>
          <w:color w:val="000000"/>
          <w:sz w:val="36"/>
          <w:szCs w:val="36"/>
          <w:lang w:val="en-US" w:eastAsia="zh-CN"/>
        </w:rPr>
      </w:pPr>
      <w:r>
        <w:rPr>
          <w:rFonts w:hint="eastAsia" w:ascii="隶书" w:hAnsi="宋体" w:eastAsia="隶书" w:cs="隶书"/>
          <w:color w:val="000000"/>
          <w:sz w:val="36"/>
          <w:szCs w:val="36"/>
        </w:rPr>
        <w:t>管理体系审核记录表</w:t>
      </w:r>
    </w:p>
    <w:tbl>
      <w:tblPr>
        <w:tblStyle w:val="9"/>
        <w:tblW w:w="14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131"/>
        <w:gridCol w:w="11823"/>
        <w:gridCol w:w="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4" w:type="dxa"/>
            <w:vAlign w:val="center"/>
          </w:tcPr>
          <w:p>
            <w:pPr>
              <w:spacing w:before="120"/>
              <w:jc w:val="center"/>
              <w:rPr>
                <w:szCs w:val="21"/>
              </w:rPr>
            </w:pPr>
            <w:r>
              <w:rPr>
                <w:rFonts w:hint="eastAsia"/>
                <w:szCs w:val="21"/>
              </w:rPr>
              <w:t>过程与活动、</w:t>
            </w:r>
          </w:p>
          <w:p>
            <w:pPr>
              <w:jc w:val="center"/>
              <w:rPr>
                <w:rFonts w:hint="eastAsia" w:asciiTheme="minorEastAsia" w:hAnsiTheme="minorEastAsia" w:eastAsiaTheme="minorEastAsia" w:cstheme="minorEastAsia"/>
                <w:sz w:val="21"/>
                <w:szCs w:val="21"/>
              </w:rPr>
            </w:pPr>
            <w:r>
              <w:rPr>
                <w:rFonts w:hint="eastAsia"/>
                <w:szCs w:val="21"/>
              </w:rPr>
              <w:t>抽样计划</w:t>
            </w:r>
          </w:p>
        </w:tc>
        <w:tc>
          <w:tcPr>
            <w:tcW w:w="1131" w:type="dxa"/>
            <w:vAlign w:val="center"/>
          </w:tcPr>
          <w:p>
            <w:pPr>
              <w:rPr>
                <w:szCs w:val="21"/>
              </w:rPr>
            </w:pPr>
            <w:r>
              <w:rPr>
                <w:rFonts w:hint="eastAsia"/>
                <w:szCs w:val="21"/>
              </w:rPr>
              <w:t>涉及</w:t>
            </w:r>
          </w:p>
          <w:p>
            <w:pPr>
              <w:rPr>
                <w:rFonts w:hint="eastAsia"/>
                <w:szCs w:val="21"/>
              </w:rPr>
            </w:pPr>
            <w:r>
              <w:rPr>
                <w:rFonts w:hint="eastAsia"/>
                <w:szCs w:val="21"/>
              </w:rPr>
              <w:t>条款</w:t>
            </w:r>
          </w:p>
        </w:tc>
        <w:tc>
          <w:tcPr>
            <w:tcW w:w="11823"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受审核部门：</w:t>
            </w:r>
            <w:r>
              <w:rPr>
                <w:rFonts w:hint="eastAsia" w:asciiTheme="minorEastAsia" w:hAnsiTheme="minorEastAsia" w:eastAsiaTheme="minorEastAsia" w:cstheme="minorEastAsia"/>
                <w:color w:val="auto"/>
                <w:sz w:val="21"/>
                <w:szCs w:val="21"/>
                <w:lang w:val="en-US" w:eastAsia="zh-CN"/>
              </w:rPr>
              <w:t>马岗村东高电站渠道硬化工程项目（水利水电项目）</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项目经理</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温卫卫</w:t>
            </w:r>
            <w:r>
              <w:rPr>
                <w:rFonts w:hint="eastAsia" w:asciiTheme="minorEastAsia" w:hAnsiTheme="minorEastAsia" w:eastAsiaTheme="minorEastAsia" w:cstheme="minorEastAsia"/>
                <w:color w:val="auto"/>
                <w:sz w:val="21"/>
                <w:szCs w:val="21"/>
                <w:lang w:val="en-US" w:eastAsia="zh-CN"/>
              </w:rPr>
              <w:t xml:space="preserve">                   技术负责人：李娜</w:t>
            </w:r>
          </w:p>
        </w:tc>
        <w:tc>
          <w:tcPr>
            <w:tcW w:w="551" w:type="dxa"/>
            <w:vAlign w:val="center"/>
          </w:tcPr>
          <w:p>
            <w:pPr>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54"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组织内的角色、职责和权限；资源、作用、职责、责任和权限</w:t>
            </w:r>
          </w:p>
        </w:tc>
        <w:tc>
          <w:tcPr>
            <w:tcW w:w="1131"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5.3</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JQ</w:t>
            </w:r>
          </w:p>
          <w:p>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w:t>
            </w:r>
          </w:p>
          <w:p>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w:t>
            </w:r>
          </w:p>
          <w:p>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w:t>
            </w:r>
          </w:p>
        </w:tc>
        <w:tc>
          <w:tcPr>
            <w:tcW w:w="1182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项目部机构人员组成，</w:t>
            </w:r>
            <w:r>
              <w:rPr>
                <w:rFonts w:hint="eastAsia" w:asciiTheme="minorEastAsia" w:hAnsiTheme="minorEastAsia" w:eastAsiaTheme="minorEastAsia" w:cstheme="minorEastAsia"/>
                <w:color w:val="auto"/>
                <w:sz w:val="21"/>
                <w:szCs w:val="21"/>
              </w:rPr>
              <w:t>见《项目管理机构组成表》，</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项目经理</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温卫卫</w:t>
            </w:r>
            <w:r>
              <w:rPr>
                <w:rFonts w:hint="eastAsia" w:asciiTheme="minorEastAsia" w:hAnsiTheme="minorEastAsia" w:eastAsiaTheme="minorEastAsia" w:cstheme="minorEastAsia"/>
                <w:color w:val="auto"/>
                <w:sz w:val="21"/>
                <w:szCs w:val="21"/>
                <w:lang w:val="en-US" w:eastAsia="zh-CN"/>
              </w:rPr>
              <w:t xml:space="preserve">                   </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证书名称</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专业</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姓名</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编号</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有效期</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ab/>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B证</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水利工程</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温卫卫</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皖水安B22001949</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2023/12/31</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C证</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水利工程</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吴雨</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SGL20203400966</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2023/6/30</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建造师证</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水利工程</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温卫卫</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皖234201786719</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2020/12/19</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职称证</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水利工程</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李娜</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201312310432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长期</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施工员</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水利工程</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卢正安</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SGL20203400989</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2023/6/30</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质量员</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水利工程</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李萧榕</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SGL20203401079</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2023/6/30</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资料员</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水利工程</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戴田辉</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SGL20203400922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2023/6/30</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材料员</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水利工程</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王洁</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SGL20203400956</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2023/6/30</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建筑电工</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朱启东</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皖L012018111924</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2024/3/17</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建筑电工</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袁野</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皖L012018111806</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2024/3/17</w:t>
            </w:r>
          </w:p>
          <w:p>
            <w:pPr>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rPr>
              <w:t>项目部具体的人员的职责、分工均在《施工方案》有明确规定，通过现场调度会、例会和安全技术交底的形式向项目部员工传达。</w:t>
            </w:r>
          </w:p>
        </w:tc>
        <w:tc>
          <w:tcPr>
            <w:tcW w:w="551" w:type="dxa"/>
            <w:vAlign w:val="center"/>
          </w:tcPr>
          <w:p>
            <w:pPr>
              <w:ind w:firstLine="420" w:firstLineChars="200"/>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4" w:type="dxa"/>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质量目标及其实现的策划；</w:t>
            </w:r>
          </w:p>
        </w:tc>
        <w:tc>
          <w:tcPr>
            <w:tcW w:w="1131" w:type="dxa"/>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Q6.2</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J3.2</w:t>
            </w:r>
          </w:p>
          <w:p>
            <w:pPr>
              <w:rPr>
                <w:rFonts w:hint="eastAsia" w:asciiTheme="minorEastAsia" w:hAnsiTheme="minorEastAsia" w:eastAsiaTheme="minorEastAsia" w:cstheme="minorEastAsia"/>
                <w:color w:val="auto"/>
                <w:sz w:val="21"/>
                <w:szCs w:val="21"/>
              </w:rPr>
            </w:pPr>
          </w:p>
        </w:tc>
        <w:tc>
          <w:tcPr>
            <w:tcW w:w="11823" w:type="dxa"/>
            <w:vAlign w:val="center"/>
          </w:tcPr>
          <w:p>
            <w:pPr>
              <w:pStyle w:val="7"/>
              <w:spacing w:after="0" w:line="360" w:lineRule="auto"/>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质量目标：    </w:t>
            </w:r>
          </w:p>
          <w:p>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工程一次交验合格率100%</w:t>
            </w:r>
          </w:p>
          <w:p>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分部工程优良率＞90%</w:t>
            </w:r>
          </w:p>
          <w:p>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检测仪器检定、校准率100%；</w:t>
            </w:r>
          </w:p>
          <w:p>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安全教育考核率100%</w:t>
            </w:r>
          </w:p>
          <w:p>
            <w:pPr>
              <w:pStyle w:val="7"/>
              <w:spacing w:after="0"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查看了《目标完成情况分析表》，经查工程部管理目标，2020年上半年目标指标均已完成。</w:t>
            </w:r>
          </w:p>
          <w:p>
            <w:pPr>
              <w:pStyle w:val="7"/>
              <w:spacing w:after="0"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目标和指标有可测量性并与方针保持一致，方案的制定满足要求。</w:t>
            </w:r>
          </w:p>
        </w:tc>
        <w:tc>
          <w:tcPr>
            <w:tcW w:w="551" w:type="dxa"/>
            <w:vAlign w:val="center"/>
          </w:tcPr>
          <w:p>
            <w:pPr>
              <w:pStyle w:val="7"/>
              <w:spacing w:after="0" w:line="360" w:lineRule="auto"/>
              <w:ind w:firstLine="420" w:firstLineChars="200"/>
              <w:jc w:val="lef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4" w:type="dxa"/>
            <w:vAlign w:val="center"/>
          </w:tcPr>
          <w:p>
            <w:pPr>
              <w:tabs>
                <w:tab w:val="left" w:pos="0"/>
              </w:tabs>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基础设施</w:t>
            </w:r>
          </w:p>
        </w:tc>
        <w:tc>
          <w:tcPr>
            <w:tcW w:w="1131" w:type="dxa"/>
            <w:vAlign w:val="center"/>
          </w:tcPr>
          <w:p>
            <w:pPr>
              <w:rPr>
                <w:color w:val="auto"/>
              </w:rPr>
            </w:pPr>
            <w:r>
              <w:rPr>
                <w:color w:val="auto"/>
              </w:rPr>
              <w:t>Q7.1.3</w:t>
            </w:r>
          </w:p>
          <w:p>
            <w:pPr>
              <w:tabs>
                <w:tab w:val="left" w:pos="0"/>
              </w:tabs>
              <w:adjustRightInd w:val="0"/>
              <w:snapToGrid w:val="0"/>
              <w:spacing w:line="360" w:lineRule="auto"/>
              <w:rPr>
                <w:rFonts w:hint="eastAsia" w:asciiTheme="minorEastAsia" w:hAnsiTheme="minorEastAsia" w:eastAsiaTheme="minorEastAsia" w:cstheme="minorEastAsia"/>
                <w:sz w:val="21"/>
                <w:szCs w:val="21"/>
              </w:rPr>
            </w:pPr>
            <w:r>
              <w:rPr>
                <w:color w:val="auto"/>
              </w:rPr>
              <w:t>J7.1-7.4</w:t>
            </w:r>
          </w:p>
        </w:tc>
        <w:tc>
          <w:tcPr>
            <w:tcW w:w="11823" w:type="dxa"/>
            <w:vAlign w:val="center"/>
          </w:tcPr>
          <w:p>
            <w:pPr>
              <w:pStyle w:val="7"/>
              <w:spacing w:after="0" w:line="360" w:lineRule="auto"/>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该项目部配备了办</w:t>
            </w:r>
            <w:r>
              <w:rPr>
                <w:rFonts w:hint="eastAsia" w:asciiTheme="minorEastAsia" w:hAnsiTheme="minorEastAsia" w:eastAsiaTheme="minorEastAsia" w:cstheme="minorEastAsia"/>
                <w:color w:val="auto"/>
                <w:sz w:val="21"/>
                <w:szCs w:val="21"/>
              </w:rPr>
              <w:t>公用房及设施、施工机具设备、通讯、运输和信息系统等基础设施，由项目部根据项目需求，提出机械设备</w:t>
            </w:r>
            <w:r>
              <w:rPr>
                <w:rFonts w:hint="eastAsia" w:asciiTheme="minorEastAsia" w:hAnsiTheme="minorEastAsia" w:cstheme="minorEastAsia"/>
                <w:color w:val="auto"/>
                <w:sz w:val="21"/>
                <w:szCs w:val="21"/>
                <w:lang w:val="en-US" w:eastAsia="zh-CN"/>
              </w:rPr>
              <w:t>使用需求</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sz w:val="21"/>
                <w:szCs w:val="21"/>
                <w:lang w:val="en-US" w:eastAsia="zh-CN"/>
              </w:rPr>
              <w:t>包括</w:t>
            </w:r>
            <w:r>
              <w:rPr>
                <w:rFonts w:hint="eastAsia" w:asciiTheme="minorEastAsia" w:hAnsiTheme="minorEastAsia" w:eastAsiaTheme="minorEastAsia" w:cstheme="minorEastAsia"/>
                <w:sz w:val="21"/>
                <w:szCs w:val="21"/>
              </w:rPr>
              <w:t>挖掘机、机动翻斗车、推土机、汽车起重机、</w:t>
            </w:r>
            <w:r>
              <w:rPr>
                <w:rFonts w:hint="eastAsia" w:asciiTheme="minorEastAsia" w:hAnsiTheme="minorEastAsia" w:eastAsiaTheme="minorEastAsia" w:cstheme="minorEastAsia"/>
                <w:sz w:val="21"/>
                <w:szCs w:val="21"/>
                <w:lang w:val="en-US" w:eastAsia="zh-CN"/>
              </w:rPr>
              <w:t>混凝土搅拌机、铁锹、镐头、卷尺、安全帽、劳保手套</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lang w:val="en-US" w:eastAsia="zh-CN"/>
              </w:rPr>
              <w:t>物资</w:t>
            </w:r>
            <w:r>
              <w:rPr>
                <w:rFonts w:hint="eastAsia" w:asciiTheme="minorEastAsia" w:hAnsiTheme="minorEastAsia" w:eastAsiaTheme="minorEastAsia" w:cstheme="minorEastAsia"/>
                <w:sz w:val="21"/>
                <w:szCs w:val="21"/>
                <w:lang w:eastAsia="zh-CN"/>
              </w:rPr>
              <w:t>。</w:t>
            </w:r>
          </w:p>
          <w:p>
            <w:pPr>
              <w:pStyle w:val="7"/>
              <w:spacing w:after="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环保设施包括：垃圾桶、灭火器；安全设施配置主要有：围栏、标识牌、灭火器、消防器材等。</w:t>
            </w:r>
          </w:p>
          <w:p>
            <w:pPr>
              <w:pStyle w:val="7"/>
              <w:spacing w:after="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基础设施设备良好，满足工作要求。</w:t>
            </w:r>
          </w:p>
        </w:tc>
        <w:tc>
          <w:tcPr>
            <w:tcW w:w="551" w:type="dxa"/>
            <w:vAlign w:val="center"/>
          </w:tcPr>
          <w:p>
            <w:pPr>
              <w:pStyle w:val="7"/>
              <w:spacing w:after="0" w:line="360" w:lineRule="auto"/>
              <w:ind w:firstLine="420" w:firstLineChars="200"/>
              <w:jc w:val="left"/>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4" w:type="dxa"/>
            <w:vAlign w:val="center"/>
          </w:tcPr>
          <w:p>
            <w:pPr>
              <w:rPr>
                <w:rFonts w:hint="eastAsia" w:asciiTheme="minorEastAsia" w:hAnsiTheme="minorEastAsia" w:eastAsiaTheme="minorEastAsia" w:cstheme="minorEastAsia"/>
                <w:b/>
                <w:sz w:val="21"/>
                <w:szCs w:val="21"/>
              </w:rPr>
            </w:pPr>
            <w:r>
              <w:rPr>
                <w:rFonts w:hint="eastAsia" w:ascii="宋体" w:hAnsi="宋体"/>
              </w:rPr>
              <w:t>工作环境</w:t>
            </w:r>
          </w:p>
        </w:tc>
        <w:tc>
          <w:tcPr>
            <w:tcW w:w="1131" w:type="dxa"/>
            <w:vAlign w:val="center"/>
          </w:tcPr>
          <w:p>
            <w:r>
              <w:rPr>
                <w:rFonts w:hint="eastAsia"/>
                <w:lang w:val="en-US" w:eastAsia="zh-CN"/>
              </w:rPr>
              <w:t>Q</w:t>
            </w:r>
            <w:r>
              <w:t>7.1.4</w:t>
            </w:r>
          </w:p>
          <w:p>
            <w:pPr>
              <w:rPr>
                <w:color w:val="auto"/>
              </w:rPr>
            </w:pPr>
            <w:r>
              <w:rPr>
                <w:rFonts w:hint="eastAsia"/>
                <w:lang w:val="en-US" w:eastAsia="zh-CN"/>
              </w:rPr>
              <w:t>J</w:t>
            </w:r>
            <w:r>
              <w:t>10.5.1</w:t>
            </w:r>
          </w:p>
        </w:tc>
        <w:tc>
          <w:tcPr>
            <w:tcW w:w="11823" w:type="dxa"/>
            <w:vAlign w:val="center"/>
          </w:tcPr>
          <w:p>
            <w:pPr>
              <w:pStyle w:val="7"/>
              <w:spacing w:after="0" w:line="360" w:lineRule="auto"/>
              <w:ind w:firstLine="420" w:firstLineChars="200"/>
              <w:jc w:val="left"/>
              <w:rPr>
                <w:rFonts w:ascii="宋体" w:hAnsi="宋体" w:cs="宋体"/>
                <w:szCs w:val="21"/>
              </w:rPr>
            </w:pPr>
            <w:r>
              <w:rPr>
                <w:rFonts w:hint="eastAsia" w:ascii="宋体" w:hAnsi="宋体" w:cs="宋体"/>
                <w:szCs w:val="21"/>
              </w:rPr>
              <w:t>现场观察：项目部办公区域工作环境整洁，办公场所宽敞明亮，配置了电话、电脑、打印机等</w:t>
            </w:r>
            <w:r>
              <w:rPr>
                <w:rFonts w:hint="eastAsia" w:ascii="宋体" w:hAnsi="宋体" w:cs="宋体"/>
                <w:szCs w:val="21"/>
                <w:lang w:val="en-US" w:eastAsia="zh-CN"/>
              </w:rPr>
              <w:t>办公设施</w:t>
            </w:r>
            <w:r>
              <w:rPr>
                <w:rFonts w:hint="eastAsia" w:ascii="宋体" w:hAnsi="宋体" w:cs="宋体"/>
                <w:szCs w:val="21"/>
              </w:rPr>
              <w:t>；项目部办公区有施工质量要求标志、注意施工环境和安全警示标识、禁止吸烟标识，有《施工进度计划表》、《各岗位职责制度》等。</w:t>
            </w:r>
          </w:p>
          <w:p>
            <w:pPr>
              <w:pStyle w:val="7"/>
              <w:spacing w:after="0" w:line="360" w:lineRule="auto"/>
              <w:ind w:firstLine="420" w:firstLineChars="200"/>
              <w:jc w:val="left"/>
              <w:rPr>
                <w:rFonts w:hint="eastAsia" w:asciiTheme="minorEastAsia" w:hAnsiTheme="minorEastAsia" w:eastAsiaTheme="minorEastAsia" w:cstheme="minorEastAsia"/>
                <w:bCs/>
                <w:sz w:val="21"/>
                <w:szCs w:val="21"/>
              </w:rPr>
            </w:pPr>
            <w:r>
              <w:rPr>
                <w:rFonts w:hint="eastAsia" w:ascii="宋体" w:hAnsi="宋体" w:cs="宋体"/>
                <w:szCs w:val="21"/>
              </w:rPr>
              <w:t>施工现场设有临时办公室、临时仓库等，设置了机械停放和材料堆放</w:t>
            </w:r>
            <w:r>
              <w:rPr>
                <w:rFonts w:hint="eastAsia" w:ascii="宋体" w:hAnsi="宋体" w:cs="宋体"/>
                <w:szCs w:val="21"/>
                <w:lang w:val="en-US" w:eastAsia="zh-CN"/>
              </w:rPr>
              <w:t>区域</w:t>
            </w:r>
            <w:r>
              <w:rPr>
                <w:rFonts w:hint="eastAsia" w:ascii="宋体" w:hAnsi="宋体" w:cs="宋体"/>
                <w:szCs w:val="21"/>
              </w:rPr>
              <w:t>，设备保养较好，擦拭干净。种类材料分类堆放整齐，有防雨、防尘篷布。现场巡查，设备、材料等放置较整齐，基本满足规范要求。</w:t>
            </w:r>
            <w:r>
              <w:rPr>
                <w:rFonts w:ascii="宋体" w:hAnsi="宋体" w:cs="宋体"/>
                <w:szCs w:val="21"/>
              </w:rPr>
              <w:t xml:space="preserve"> </w:t>
            </w:r>
          </w:p>
        </w:tc>
        <w:tc>
          <w:tcPr>
            <w:tcW w:w="551" w:type="dxa"/>
            <w:vAlign w:val="center"/>
          </w:tcPr>
          <w:p>
            <w:pPr>
              <w:pStyle w:val="7"/>
              <w:spacing w:after="0" w:line="360" w:lineRule="auto"/>
              <w:ind w:firstLine="420" w:firstLineChars="20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4" w:type="dxa"/>
            <w:vAlign w:val="top"/>
          </w:tcPr>
          <w:p>
            <w:pPr>
              <w:spacing w:line="400" w:lineRule="exact"/>
              <w:rPr>
                <w:rFonts w:hint="eastAsia" w:asciiTheme="minorEastAsia" w:hAnsiTheme="minorEastAsia" w:eastAsiaTheme="minorEastAsia" w:cstheme="minorEastAsia"/>
                <w:b/>
                <w:sz w:val="21"/>
                <w:szCs w:val="21"/>
              </w:rPr>
            </w:pPr>
            <w:r>
              <w:rPr>
                <w:rFonts w:hint="eastAsia" w:ascii="宋体" w:hAnsi="宋体" w:cs="宋体"/>
                <w:szCs w:val="21"/>
              </w:rPr>
              <w:t>监视和测量设备</w:t>
            </w:r>
          </w:p>
        </w:tc>
        <w:tc>
          <w:tcPr>
            <w:tcW w:w="1131" w:type="dxa"/>
            <w:vAlign w:val="top"/>
          </w:tcPr>
          <w:p>
            <w:pPr>
              <w:spacing w:line="400" w:lineRule="exact"/>
              <w:rPr>
                <w:rFonts w:hint="eastAsia"/>
                <w:color w:val="auto"/>
              </w:rPr>
            </w:pPr>
            <w:r>
              <w:rPr>
                <w:rFonts w:hint="eastAsia"/>
                <w:color w:val="auto"/>
                <w:lang w:val="en-US" w:eastAsia="zh-CN"/>
              </w:rPr>
              <w:t>Q</w:t>
            </w:r>
            <w:r>
              <w:rPr>
                <w:rFonts w:hint="eastAsia"/>
                <w:color w:val="auto"/>
              </w:rPr>
              <w:t>7.1.5</w:t>
            </w:r>
          </w:p>
          <w:p>
            <w:pPr>
              <w:spacing w:line="400" w:lineRule="exact"/>
              <w:rPr>
                <w:rFonts w:hint="eastAsia" w:asciiTheme="minorEastAsia" w:hAnsiTheme="minorEastAsia" w:eastAsiaTheme="minorEastAsia" w:cstheme="minorEastAsia"/>
                <w:sz w:val="21"/>
                <w:szCs w:val="21"/>
              </w:rPr>
            </w:pPr>
            <w:r>
              <w:rPr>
                <w:rFonts w:hint="eastAsia"/>
                <w:color w:val="auto"/>
                <w:lang w:val="en-US" w:eastAsia="zh-CN"/>
              </w:rPr>
              <w:t>J</w:t>
            </w:r>
            <w:r>
              <w:rPr>
                <w:rFonts w:hint="eastAsia"/>
                <w:color w:val="auto"/>
              </w:rPr>
              <w:t>11</w:t>
            </w:r>
          </w:p>
        </w:tc>
        <w:tc>
          <w:tcPr>
            <w:tcW w:w="11823" w:type="dxa"/>
            <w:vAlign w:val="top"/>
          </w:tcPr>
          <w:p>
            <w:pPr>
              <w:spacing w:line="360" w:lineRule="auto"/>
              <w:rPr>
                <w:rFonts w:hint="eastAsia" w:ascii="宋体" w:hAnsi="宋体"/>
                <w:szCs w:val="22"/>
              </w:rPr>
            </w:pPr>
            <w:r>
              <w:rPr>
                <w:rFonts w:hint="eastAsia" w:ascii="宋体" w:hAnsi="宋体"/>
                <w:szCs w:val="22"/>
              </w:rPr>
              <w:t>监视和测量设备</w:t>
            </w:r>
            <w:r>
              <w:rPr>
                <w:rFonts w:hint="eastAsia" w:ascii="宋体" w:hAnsi="宋体"/>
                <w:szCs w:val="22"/>
                <w:lang w:val="en-US" w:eastAsia="zh-CN"/>
              </w:rPr>
              <w:t>归</w:t>
            </w:r>
            <w:r>
              <w:rPr>
                <w:rFonts w:hint="eastAsia" w:ascii="宋体" w:hAnsi="宋体"/>
                <w:szCs w:val="22"/>
              </w:rPr>
              <w:t>工程部统一</w:t>
            </w:r>
            <w:r>
              <w:rPr>
                <w:rFonts w:hint="eastAsia" w:ascii="宋体" w:hAnsi="宋体"/>
                <w:szCs w:val="22"/>
                <w:lang w:val="en-US" w:eastAsia="zh-CN"/>
              </w:rPr>
              <w:t>管理</w:t>
            </w:r>
            <w:r>
              <w:rPr>
                <w:rFonts w:hint="eastAsia" w:ascii="宋体" w:hAnsi="宋体"/>
                <w:szCs w:val="22"/>
              </w:rPr>
              <w:t>，各项目现场负责执行公司制定的监视和测量设备管理制度。</w:t>
            </w:r>
          </w:p>
          <w:p>
            <w:pPr>
              <w:spacing w:line="360" w:lineRule="auto"/>
              <w:rPr>
                <w:rFonts w:hint="eastAsia" w:ascii="宋体" w:hAnsi="宋体"/>
                <w:color w:val="auto"/>
                <w:szCs w:val="22"/>
                <w:lang w:val="en-US" w:eastAsia="zh-CN"/>
              </w:rPr>
            </w:pPr>
            <w:r>
              <w:rPr>
                <w:rFonts w:hint="eastAsia" w:ascii="宋体" w:hAnsi="宋体"/>
                <w:szCs w:val="22"/>
              </w:rPr>
              <w:t>见《监视和测量设备台帐》</w:t>
            </w:r>
            <w:r>
              <w:rPr>
                <w:rFonts w:hint="eastAsia" w:ascii="宋体" w:hAnsi="宋体"/>
                <w:color w:val="auto"/>
                <w:szCs w:val="22"/>
              </w:rPr>
              <w:t>,记录公司目前在用监视和测量设备，包括绝缘摇表、万用表、钢卷尺、经纬仪、水准仪等</w:t>
            </w:r>
            <w:r>
              <w:rPr>
                <w:rFonts w:hint="eastAsia" w:ascii="宋体" w:hAnsi="宋体"/>
                <w:color w:val="auto"/>
                <w:szCs w:val="22"/>
                <w:lang w:eastAsia="zh-CN"/>
              </w:rPr>
              <w:t>，</w:t>
            </w:r>
            <w:r>
              <w:rPr>
                <w:rFonts w:hint="eastAsia" w:ascii="宋体" w:hAnsi="宋体"/>
                <w:color w:val="auto"/>
                <w:szCs w:val="22"/>
                <w:lang w:val="en-US" w:eastAsia="zh-CN"/>
              </w:rPr>
              <w:t>见工程部台账。</w:t>
            </w:r>
          </w:p>
          <w:p>
            <w:pPr>
              <w:spacing w:line="360" w:lineRule="auto"/>
              <w:rPr>
                <w:rFonts w:hint="eastAsia" w:ascii="宋体" w:hAnsi="宋体"/>
                <w:color w:val="auto"/>
                <w:szCs w:val="22"/>
              </w:rPr>
            </w:pPr>
            <w:r>
              <w:rPr>
                <w:rFonts w:hint="eastAsia" w:ascii="宋体" w:hAnsi="宋体"/>
                <w:color w:val="auto"/>
                <w:szCs w:val="22"/>
              </w:rPr>
              <w:t>经查，没有计算机软件用于监视和测量情况。</w:t>
            </w:r>
          </w:p>
          <w:p>
            <w:pPr>
              <w:spacing w:line="360" w:lineRule="auto"/>
              <w:rPr>
                <w:rFonts w:hint="eastAsia" w:ascii="宋体" w:hAnsi="宋体"/>
                <w:szCs w:val="22"/>
              </w:rPr>
            </w:pPr>
            <w:r>
              <w:rPr>
                <w:rFonts w:hint="eastAsia" w:ascii="宋体" w:hAnsi="宋体"/>
                <w:color w:val="auto"/>
                <w:szCs w:val="22"/>
              </w:rPr>
              <w:t>项目经理介绍：监视和测量设备由</w:t>
            </w:r>
            <w:r>
              <w:rPr>
                <w:rFonts w:hint="eastAsia" w:ascii="宋体" w:hAnsi="宋体"/>
                <w:color w:val="auto"/>
                <w:szCs w:val="22"/>
                <w:lang w:val="en-US" w:eastAsia="zh-CN"/>
              </w:rPr>
              <w:t>技术</w:t>
            </w:r>
            <w:r>
              <w:rPr>
                <w:rFonts w:hint="eastAsia" w:ascii="宋体" w:hAnsi="宋体"/>
                <w:color w:val="auto"/>
                <w:szCs w:val="22"/>
              </w:rPr>
              <w:t>员负责保管、使用，经</w:t>
            </w:r>
            <w:r>
              <w:rPr>
                <w:rFonts w:hint="eastAsia" w:ascii="宋体" w:hAnsi="宋体"/>
                <w:szCs w:val="22"/>
              </w:rPr>
              <w:t>过培训的专业人员，确保了仪器的</w:t>
            </w:r>
            <w:r>
              <w:rPr>
                <w:rFonts w:hint="eastAsia" w:ascii="宋体" w:hAnsi="宋体"/>
                <w:szCs w:val="22"/>
                <w:lang w:val="en-US" w:eastAsia="zh-CN"/>
              </w:rPr>
              <w:t>正常使用，</w:t>
            </w:r>
            <w:r>
              <w:rPr>
                <w:rFonts w:hint="eastAsia" w:ascii="宋体" w:hAnsi="宋体"/>
                <w:szCs w:val="22"/>
              </w:rPr>
              <w:t>防止</w:t>
            </w:r>
            <w:r>
              <w:rPr>
                <w:rFonts w:hint="eastAsia" w:ascii="宋体" w:hAnsi="宋体"/>
                <w:szCs w:val="22"/>
                <w:lang w:val="en-US" w:eastAsia="zh-CN"/>
              </w:rPr>
              <w:t>其</w:t>
            </w:r>
            <w:r>
              <w:rPr>
                <w:rFonts w:hint="eastAsia" w:ascii="宋体" w:hAnsi="宋体"/>
                <w:szCs w:val="22"/>
              </w:rPr>
              <w:t>失效、损坏。</w:t>
            </w:r>
          </w:p>
        </w:tc>
        <w:tc>
          <w:tcPr>
            <w:tcW w:w="551" w:type="dxa"/>
            <w:vAlign w:val="top"/>
          </w:tcPr>
          <w:p>
            <w:pPr>
              <w:spacing w:line="360" w:lineRule="auto"/>
              <w:rPr>
                <w:rFonts w:hint="eastAsia"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4"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更改控制</w:t>
            </w:r>
          </w:p>
        </w:tc>
        <w:tc>
          <w:tcPr>
            <w:tcW w:w="1131"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Q8.5.6、J10.6</w:t>
            </w:r>
          </w:p>
        </w:tc>
        <w:tc>
          <w:tcPr>
            <w:tcW w:w="11823"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经询查，目前未发生工程变更。</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当发生与施工内容有关的合同变更或技术变更情况，按照公司管理手册8.1过程要求，项目部会同工程</w:t>
            </w:r>
            <w:r>
              <w:rPr>
                <w:rFonts w:hint="eastAsia" w:asciiTheme="minorEastAsia" w:hAnsiTheme="minorEastAsia" w:eastAsiaTheme="minorEastAsia" w:cstheme="minorEastAsia"/>
                <w:b w:val="0"/>
                <w:bCs/>
                <w:sz w:val="21"/>
                <w:szCs w:val="21"/>
                <w:lang w:val="en-US" w:eastAsia="zh-CN"/>
              </w:rPr>
              <w:t>部</w:t>
            </w:r>
            <w:r>
              <w:rPr>
                <w:rFonts w:hint="eastAsia" w:asciiTheme="minorEastAsia" w:hAnsiTheme="minorEastAsia" w:eastAsiaTheme="minorEastAsia" w:cstheme="minorEastAsia"/>
                <w:b w:val="0"/>
                <w:bCs/>
                <w:sz w:val="21"/>
                <w:szCs w:val="21"/>
              </w:rPr>
              <w:t>等有关部门及人员，对变更内容进行评审、并在变更实施前进行验证和确认，获得批准后实施。</w:t>
            </w:r>
          </w:p>
        </w:tc>
        <w:tc>
          <w:tcPr>
            <w:tcW w:w="551" w:type="dxa"/>
            <w:vAlign w:val="center"/>
          </w:tcPr>
          <w:p>
            <w:pPr>
              <w:rPr>
                <w:rFonts w:hint="eastAsia" w:asciiTheme="minorEastAsia" w:hAnsiTheme="minorEastAsia" w:eastAsiaTheme="minorEastAsia" w:cstheme="minorEastAsia"/>
                <w:b w:val="0"/>
                <w:bCs/>
                <w:sz w:val="21"/>
                <w:szCs w:val="21"/>
              </w:rPr>
            </w:pPr>
          </w:p>
        </w:tc>
      </w:tr>
    </w:tbl>
    <w:p>
      <w:pPr>
        <w:pStyle w:val="5"/>
      </w:pPr>
    </w:p>
    <w:p>
      <w:pPr>
        <w:pStyle w:val="5"/>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45"/>
        <w:gridCol w:w="11410"/>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845" w:type="dxa"/>
            <w:vMerge w:val="restart"/>
            <w:vAlign w:val="center"/>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1410" w:type="dxa"/>
            <w:vAlign w:val="center"/>
          </w:tcPr>
          <w:p>
            <w:pPr>
              <w:spacing w:line="320" w:lineRule="exact"/>
              <w:rPr>
                <w:rFonts w:hint="eastAsia" w:asciiTheme="minorEastAsia" w:hAnsiTheme="minorEastAsia" w:eastAsiaTheme="minorEastAsia" w:cstheme="minorEastAsia"/>
                <w:szCs w:val="21"/>
              </w:rPr>
            </w:pPr>
            <w:r>
              <w:rPr>
                <w:rFonts w:ascii="宋体" w:hAnsi="宋体"/>
                <w:color w:val="auto"/>
                <w:highlight w:val="none"/>
              </w:rPr>
              <w:t>受审核部门：</w:t>
            </w:r>
            <w:r>
              <w:rPr>
                <w:rFonts w:hint="eastAsia" w:ascii="宋体" w:hAnsi="宋体"/>
                <w:color w:val="auto"/>
                <w:highlight w:val="none"/>
                <w:lang w:eastAsia="zh-CN"/>
              </w:rPr>
              <w:t>综合部</w:t>
            </w:r>
            <w:r>
              <w:rPr>
                <w:rFonts w:ascii="宋体" w:hAnsi="宋体"/>
                <w:color w:val="auto"/>
                <w:highlight w:val="none"/>
              </w:rPr>
              <w:t xml:space="preserve">   </w:t>
            </w:r>
            <w:r>
              <w:rPr>
                <w:rFonts w:hint="eastAsia" w:ascii="宋体" w:hAnsi="宋体"/>
                <w:color w:val="auto"/>
                <w:highlight w:val="none"/>
              </w:rPr>
              <w:t>主管领导：</w:t>
            </w:r>
            <w:r>
              <w:rPr>
                <w:rFonts w:hint="eastAsia" w:ascii="宋体" w:hAnsi="宋体" w:cs="宋体"/>
                <w:color w:val="auto"/>
                <w:highlight w:val="none"/>
                <w:lang w:val="en-US" w:eastAsia="zh-CN"/>
              </w:rPr>
              <w:t>耿玉雪</w:t>
            </w:r>
            <w:r>
              <w:rPr>
                <w:rFonts w:hint="eastAsia" w:ascii="宋体" w:hAnsi="宋体" w:cs="宋体"/>
                <w:color w:val="auto"/>
                <w:highlight w:val="none"/>
              </w:rPr>
              <w:t xml:space="preserve">     陪同人员：</w:t>
            </w:r>
            <w:r>
              <w:rPr>
                <w:rFonts w:hint="eastAsia" w:ascii="宋体" w:hAnsi="宋体" w:cs="宋体"/>
                <w:color w:val="auto"/>
                <w:highlight w:val="none"/>
                <w:lang w:val="en-US" w:eastAsia="zh-CN"/>
              </w:rPr>
              <w:t>卢正安</w:t>
            </w:r>
          </w:p>
        </w:tc>
        <w:tc>
          <w:tcPr>
            <w:tcW w:w="655" w:type="dxa"/>
            <w:vMerge w:val="restart"/>
            <w:vAlign w:val="center"/>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spacing w:line="360" w:lineRule="auto"/>
              <w:rPr>
                <w:rFonts w:hint="eastAsia" w:asciiTheme="minorEastAsia" w:hAnsiTheme="minorEastAsia" w:eastAsiaTheme="minorEastAsia" w:cstheme="minorEastAsia"/>
                <w:szCs w:val="21"/>
              </w:rPr>
            </w:pPr>
          </w:p>
        </w:tc>
        <w:tc>
          <w:tcPr>
            <w:tcW w:w="845" w:type="dxa"/>
            <w:vMerge w:val="continue"/>
            <w:vAlign w:val="center"/>
          </w:tcPr>
          <w:p>
            <w:pPr>
              <w:spacing w:line="360" w:lineRule="auto"/>
              <w:rPr>
                <w:rFonts w:hint="eastAsia" w:asciiTheme="minorEastAsia" w:hAnsiTheme="minorEastAsia" w:eastAsiaTheme="minorEastAsia" w:cstheme="minorEastAsia"/>
                <w:szCs w:val="21"/>
              </w:rPr>
            </w:pPr>
          </w:p>
        </w:tc>
        <w:tc>
          <w:tcPr>
            <w:tcW w:w="11410" w:type="dxa"/>
            <w:vAlign w:val="center"/>
          </w:tcPr>
          <w:p>
            <w:pPr>
              <w:spacing w:line="320" w:lineRule="exact"/>
              <w:rPr>
                <w:rFonts w:hint="eastAsia" w:asciiTheme="minorEastAsia" w:hAnsiTheme="minorEastAsia" w:eastAsiaTheme="minorEastAsia" w:cstheme="minorEastAsia"/>
                <w:szCs w:val="21"/>
              </w:rPr>
            </w:pPr>
            <w:r>
              <w:rPr>
                <w:rFonts w:ascii="宋体" w:hAnsi="宋体"/>
                <w:color w:val="auto"/>
              </w:rPr>
              <w:t>审核员：</w:t>
            </w:r>
            <w:r>
              <w:rPr>
                <w:rFonts w:hint="eastAsia" w:ascii="宋体" w:hAnsi="宋体" w:cs="宋体"/>
                <w:color w:val="auto"/>
              </w:rPr>
              <w:t>王志慧</w:t>
            </w:r>
            <w:r>
              <w:rPr>
                <w:rFonts w:ascii="宋体" w:hAnsi="宋体"/>
                <w:color w:val="auto"/>
              </w:rPr>
              <w:t xml:space="preserve">      审核时间：</w:t>
            </w:r>
            <w:r>
              <w:rPr>
                <w:rFonts w:hint="eastAsia" w:asciiTheme="minorEastAsia" w:hAnsiTheme="minorEastAsia" w:eastAsiaTheme="minorEastAsia" w:cstheme="minorEastAsia"/>
                <w:b w:val="0"/>
                <w:bCs w:val="0"/>
                <w:color w:val="auto"/>
                <w:sz w:val="21"/>
                <w:szCs w:val="21"/>
                <w:lang w:val="en-US" w:eastAsia="zh-CN"/>
              </w:rPr>
              <w:t>2020年11月11日</w:t>
            </w:r>
          </w:p>
        </w:tc>
        <w:tc>
          <w:tcPr>
            <w:tcW w:w="655" w:type="dxa"/>
            <w:vMerge w:val="continue"/>
          </w:tcPr>
          <w:p>
            <w:pPr>
              <w:spacing w:line="360" w:lineRule="auto"/>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spacing w:line="360" w:lineRule="auto"/>
              <w:rPr>
                <w:rFonts w:hint="eastAsia" w:asciiTheme="minorEastAsia" w:hAnsiTheme="minorEastAsia" w:eastAsiaTheme="minorEastAsia" w:cstheme="minorEastAsia"/>
                <w:szCs w:val="21"/>
              </w:rPr>
            </w:pPr>
          </w:p>
        </w:tc>
        <w:tc>
          <w:tcPr>
            <w:tcW w:w="845" w:type="dxa"/>
            <w:vMerge w:val="continue"/>
            <w:vAlign w:val="center"/>
          </w:tcPr>
          <w:p>
            <w:pPr>
              <w:spacing w:line="360" w:lineRule="auto"/>
              <w:rPr>
                <w:rFonts w:hint="eastAsia" w:asciiTheme="minorEastAsia" w:hAnsiTheme="minorEastAsia" w:eastAsiaTheme="minorEastAsia" w:cstheme="minorEastAsia"/>
                <w:szCs w:val="21"/>
              </w:rPr>
            </w:pPr>
          </w:p>
        </w:tc>
        <w:tc>
          <w:tcPr>
            <w:tcW w:w="11410" w:type="dxa"/>
            <w:vAlign w:val="center"/>
          </w:tcPr>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审核条款：</w:t>
            </w:r>
          </w:p>
        </w:tc>
        <w:tc>
          <w:tcPr>
            <w:tcW w:w="655" w:type="dxa"/>
            <w:vMerge w:val="continue"/>
          </w:tcPr>
          <w:p>
            <w:pPr>
              <w:spacing w:line="360" w:lineRule="auto"/>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9" w:type="dxa"/>
            <w:vAlign w:val="center"/>
          </w:tcPr>
          <w:p>
            <w:pPr>
              <w:spacing w:line="360" w:lineRule="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rPr>
              <w:t>组织的岗位、职责权限</w:t>
            </w:r>
          </w:p>
        </w:tc>
        <w:tc>
          <w:tcPr>
            <w:tcW w:w="845" w:type="dxa"/>
            <w:vAlign w:val="center"/>
          </w:tcPr>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QEO</w:t>
            </w:r>
          </w:p>
          <w:p>
            <w:pPr>
              <w:spacing w:line="360" w:lineRule="auto"/>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rPr>
              <w:t>5.3</w:t>
            </w:r>
          </w:p>
        </w:tc>
        <w:tc>
          <w:tcPr>
            <w:tcW w:w="11410" w:type="dxa"/>
            <w:vAlign w:val="center"/>
          </w:tcPr>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部门负责人：</w:t>
            </w:r>
            <w:r>
              <w:rPr>
                <w:rFonts w:hint="eastAsia" w:ascii="宋体" w:hAnsi="宋体" w:cs="宋体"/>
                <w:color w:val="auto"/>
                <w:highlight w:val="none"/>
                <w:lang w:val="en-US" w:eastAsia="zh-CN"/>
              </w:rPr>
              <w:t>耿玉雪</w:t>
            </w:r>
            <w:r>
              <w:rPr>
                <w:rFonts w:hint="eastAsia" w:ascii="宋体" w:hAnsi="宋体" w:cs="宋体"/>
                <w:color w:val="auto"/>
                <w:highlight w:val="none"/>
              </w:rPr>
              <w:t xml:space="preserve"> </w:t>
            </w:r>
          </w:p>
          <w:p>
            <w:pPr>
              <w:spacing w:line="360" w:lineRule="auto"/>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rPr>
              <w:t>询问其职责权限：主要负责公司文件的控制，即文件的编制、收发、归档、产品质量、安全环保等管理工作。负责公司人力资源及教育培训工作。负责组织内审和管理评审工作，对不合格采取纠正和预防措施；负责组织辨识和评价公司的环境因素、危险源，对办公区的环境因素、危险源进行控制管理方面的工作等。职责明确，回答基本完整。</w:t>
            </w:r>
          </w:p>
        </w:tc>
        <w:tc>
          <w:tcPr>
            <w:tcW w:w="655" w:type="dxa"/>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tcPr>
          <w:p>
            <w:pPr>
              <w:tabs>
                <w:tab w:val="left" w:pos="7380"/>
              </w:tabs>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目标、指标及完成情况</w:t>
            </w:r>
          </w:p>
        </w:tc>
        <w:tc>
          <w:tcPr>
            <w:tcW w:w="845" w:type="dxa"/>
          </w:tcPr>
          <w:p>
            <w:pPr>
              <w:tabs>
                <w:tab w:val="left" w:pos="7380"/>
              </w:tabs>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Q6.2</w:t>
            </w:r>
          </w:p>
          <w:p>
            <w:pPr>
              <w:tabs>
                <w:tab w:val="left" w:pos="7380"/>
              </w:tabs>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J3.2</w:t>
            </w:r>
          </w:p>
          <w:p>
            <w:pPr>
              <w:tabs>
                <w:tab w:val="left" w:pos="7380"/>
              </w:tabs>
              <w:spacing w:line="360" w:lineRule="auto"/>
              <w:rPr>
                <w:rFonts w:hint="eastAsia" w:asciiTheme="minorEastAsia" w:hAnsiTheme="minorEastAsia" w:eastAsiaTheme="minorEastAsia" w:cstheme="minorEastAsia"/>
                <w:bCs/>
                <w:color w:val="auto"/>
                <w:szCs w:val="21"/>
              </w:rPr>
            </w:pPr>
          </w:p>
        </w:tc>
        <w:tc>
          <w:tcPr>
            <w:tcW w:w="11410" w:type="dxa"/>
          </w:tcPr>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目标、指标：培训计划完成率100%。火灾事故为零；固体废弃物分类处置率为100%；确保员工持证上岗，上岗率达到100%；</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完成情况：编写管理手册、程序文件、管理文件、应急手册均为有效版本，并发至管理部门和基层单位。识别了适用的法律法规及其他要求，均为有效版本；各专业内外培训共进行了培训，其中8次内部培训。培训及格率为100%。</w:t>
            </w:r>
          </w:p>
          <w:p>
            <w:pPr>
              <w:pStyle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火灾事故0次；固体废弃物分类处置率100%；员工持证上岗率100%</w:t>
            </w:r>
          </w:p>
        </w:tc>
        <w:tc>
          <w:tcPr>
            <w:tcW w:w="655" w:type="dxa"/>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799" w:type="dxa"/>
          </w:tcPr>
          <w:p>
            <w:pPr>
              <w:tabs>
                <w:tab w:val="left" w:pos="7380"/>
              </w:tabs>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内部审核</w:t>
            </w:r>
          </w:p>
        </w:tc>
        <w:tc>
          <w:tcPr>
            <w:tcW w:w="845" w:type="dxa"/>
            <w:vAlign w:val="center"/>
          </w:tcPr>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QEO9.2</w:t>
            </w:r>
          </w:p>
          <w:p>
            <w:pPr>
              <w:pStyle w:val="2"/>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J12.1-12.4</w:t>
            </w:r>
          </w:p>
        </w:tc>
        <w:tc>
          <w:tcPr>
            <w:tcW w:w="11410" w:type="dxa"/>
            <w:vAlign w:val="center"/>
          </w:tcPr>
          <w:p>
            <w:pPr>
              <w:spacing w:line="320" w:lineRule="exact"/>
              <w:rPr>
                <w:rFonts w:ascii="Times New Roman" w:hAnsi="Times New Roman"/>
              </w:rPr>
            </w:pPr>
            <w:r>
              <w:rPr>
                <w:rFonts w:ascii="Times New Roman" w:hAnsi="Times New Roman"/>
              </w:rPr>
              <w:t>编制</w:t>
            </w:r>
            <w:r>
              <w:rPr>
                <w:rFonts w:hint="eastAsia" w:ascii="Times New Roman" w:hAnsi="Times New Roman"/>
              </w:rPr>
              <w:t>《内部审核管理程序》</w:t>
            </w:r>
            <w:r>
              <w:rPr>
                <w:rFonts w:ascii="Times New Roman" w:hAnsi="Times New Roman"/>
              </w:rPr>
              <w:t>，基本符合标准要求。</w:t>
            </w:r>
          </w:p>
          <w:p>
            <w:pPr>
              <w:spacing w:line="320" w:lineRule="exact"/>
              <w:rPr>
                <w:rFonts w:ascii="Times New Roman" w:hAnsi="Times New Roman"/>
              </w:rPr>
            </w:pPr>
            <w:r>
              <w:rPr>
                <w:rFonts w:ascii="Times New Roman" w:hAnsi="Times New Roman"/>
              </w:rPr>
              <w:t>经查问：总经理、管代、各部门主管均经培训并参加了内部审核。</w:t>
            </w:r>
          </w:p>
          <w:p>
            <w:pPr>
              <w:spacing w:line="320" w:lineRule="exact"/>
              <w:rPr>
                <w:rFonts w:ascii="Times New Roman" w:hAnsi="Times New Roman"/>
              </w:rPr>
            </w:pPr>
            <w:r>
              <w:rPr>
                <w:rFonts w:ascii="Times New Roman" w:hAnsi="Times New Roman"/>
              </w:rPr>
              <w:t>2020.</w:t>
            </w:r>
            <w:r>
              <w:rPr>
                <w:rFonts w:hint="eastAsia" w:ascii="Times New Roman" w:hAnsi="Times New Roman"/>
              </w:rPr>
              <w:t>7</w:t>
            </w:r>
            <w:r>
              <w:rPr>
                <w:rFonts w:ascii="Times New Roman" w:hAnsi="Times New Roman"/>
              </w:rPr>
              <w:t>.</w:t>
            </w:r>
            <w:r>
              <w:rPr>
                <w:rFonts w:hint="eastAsia" w:ascii="Times New Roman" w:hAnsi="Times New Roman"/>
              </w:rPr>
              <w:t>2</w:t>
            </w:r>
            <w:r>
              <w:rPr>
                <w:rFonts w:hint="eastAsia" w:ascii="Times New Roman" w:hAnsi="Times New Roman"/>
                <w:lang w:val="en-US" w:eastAsia="zh-CN"/>
              </w:rPr>
              <w:t>4</w:t>
            </w:r>
            <w:r>
              <w:rPr>
                <w:rFonts w:ascii="Times New Roman" w:hAnsi="Times New Roman"/>
              </w:rPr>
              <w:t>-</w:t>
            </w:r>
            <w:r>
              <w:rPr>
                <w:rFonts w:hint="eastAsia" w:ascii="Times New Roman" w:hAnsi="Times New Roman"/>
              </w:rPr>
              <w:t>28</w:t>
            </w:r>
            <w:r>
              <w:rPr>
                <w:rFonts w:ascii="Times New Roman" w:hAnsi="Times New Roman"/>
              </w:rPr>
              <w:t>开展管理体系内部审核活动，并提供有以下内审的资料：</w:t>
            </w:r>
          </w:p>
          <w:p>
            <w:pPr>
              <w:spacing w:line="320" w:lineRule="exact"/>
              <w:rPr>
                <w:rFonts w:hint="eastAsia" w:ascii="Times New Roman" w:hAnsi="Times New Roman" w:eastAsia="宋体"/>
                <w:lang w:eastAsia="zh-CN"/>
              </w:rPr>
            </w:pPr>
            <w:r>
              <w:rPr>
                <w:rFonts w:ascii="Times New Roman" w:hAnsi="Times New Roman"/>
              </w:rPr>
              <w:t>——《审核实施计划》，编制：</w:t>
            </w:r>
            <w:r>
              <w:rPr>
                <w:rFonts w:hint="eastAsia" w:ascii="Times New Roman" w:hAnsi="Times New Roman"/>
              </w:rPr>
              <w:t>综合部</w:t>
            </w:r>
            <w:r>
              <w:rPr>
                <w:rFonts w:ascii="Times New Roman" w:hAnsi="Times New Roman"/>
              </w:rPr>
              <w:t xml:space="preserve">  批准：</w:t>
            </w:r>
            <w:r>
              <w:rPr>
                <w:rFonts w:hint="eastAsia"/>
                <w:lang w:eastAsia="zh-CN"/>
              </w:rPr>
              <w:t>姚</w:t>
            </w:r>
            <w:r>
              <w:rPr>
                <w:rFonts w:hint="eastAsia"/>
              </w:rPr>
              <w:t xml:space="preserve">平 </w:t>
            </w:r>
            <w:r>
              <w:rPr>
                <w:rFonts w:ascii="Times New Roman" w:hAnsi="Times New Roman"/>
              </w:rPr>
              <w:t>2020.</w:t>
            </w:r>
            <w:r>
              <w:rPr>
                <w:rFonts w:hint="eastAsia" w:ascii="Times New Roman" w:hAnsi="Times New Roman"/>
              </w:rPr>
              <w:t>7</w:t>
            </w:r>
            <w:r>
              <w:rPr>
                <w:rFonts w:ascii="Times New Roman" w:hAnsi="Times New Roman"/>
              </w:rPr>
              <w:t>.</w:t>
            </w:r>
            <w:r>
              <w:rPr>
                <w:rFonts w:hint="eastAsia" w:ascii="Times New Roman" w:hAnsi="Times New Roman"/>
              </w:rPr>
              <w:t>2</w:t>
            </w:r>
            <w:r>
              <w:rPr>
                <w:rFonts w:hint="eastAsia" w:ascii="Times New Roman" w:hAnsi="Times New Roman"/>
                <w:lang w:val="en-US" w:eastAsia="zh-CN"/>
              </w:rPr>
              <w:t>0</w:t>
            </w:r>
          </w:p>
          <w:p>
            <w:pPr>
              <w:spacing w:line="320" w:lineRule="exact"/>
              <w:rPr>
                <w:rFonts w:ascii="Times New Roman" w:hAnsi="Times New Roman"/>
              </w:rPr>
            </w:pPr>
            <w:r>
              <w:rPr>
                <w:rFonts w:ascii="Times New Roman" w:hAnsi="Times New Roman"/>
              </w:rPr>
              <w:t>计划中规定审核的目的、依据、范围、时间、审核安排；</w:t>
            </w:r>
          </w:p>
          <w:p>
            <w:pPr>
              <w:spacing w:line="320" w:lineRule="exact"/>
              <w:rPr>
                <w:rFonts w:ascii="Times New Roman" w:hAnsi="Times New Roman"/>
              </w:rPr>
            </w:pPr>
            <w:r>
              <w:rPr>
                <w:rFonts w:ascii="Times New Roman" w:hAnsi="Times New Roman"/>
              </w:rPr>
              <w:t>审核组组长：</w:t>
            </w:r>
            <w:r>
              <w:rPr>
                <w:rFonts w:hint="eastAsia" w:ascii="Times New Roman" w:hAnsi="Times New Roman"/>
              </w:rPr>
              <w:t>戴 田 辉</w:t>
            </w:r>
            <w:r>
              <w:rPr>
                <w:rFonts w:ascii="Times New Roman" w:hAnsi="Times New Roman"/>
              </w:rPr>
              <w:t>，组员：</w:t>
            </w:r>
            <w:r>
              <w:rPr>
                <w:rFonts w:hint="eastAsia" w:ascii="Times New Roman" w:hAnsi="Times New Roman"/>
              </w:rPr>
              <w:t>耿 玉 雪</w:t>
            </w:r>
            <w:r>
              <w:rPr>
                <w:rFonts w:hint="eastAsia" w:ascii="Times New Roman" w:hAnsi="Times New Roman"/>
                <w:lang w:eastAsia="zh-CN"/>
              </w:rPr>
              <w:t>、</w:t>
            </w:r>
            <w:r>
              <w:rPr>
                <w:rFonts w:hint="eastAsia" w:ascii="Times New Roman" w:hAnsi="Times New Roman"/>
              </w:rPr>
              <w:t>卢 正 安</w:t>
            </w:r>
            <w:r>
              <w:rPr>
                <w:rFonts w:ascii="Times New Roman" w:hAnsi="Times New Roman"/>
              </w:rPr>
              <w:t>。</w:t>
            </w:r>
          </w:p>
          <w:p>
            <w:pPr>
              <w:spacing w:line="320" w:lineRule="exact"/>
              <w:rPr>
                <w:rFonts w:ascii="Times New Roman" w:hAnsi="Times New Roman"/>
              </w:rPr>
            </w:pPr>
            <w:r>
              <w:rPr>
                <w:rFonts w:ascii="Times New Roman" w:hAnsi="Times New Roman"/>
              </w:rPr>
              <w:t>计划中没有漏标准条款、没有遗漏体系覆盖的部门和场所，内审员没有审核自己的工作。</w:t>
            </w:r>
          </w:p>
          <w:p>
            <w:pPr>
              <w:spacing w:line="320" w:lineRule="exact"/>
              <w:rPr>
                <w:rFonts w:ascii="Times New Roman" w:hAnsi="Times New Roman"/>
              </w:rPr>
            </w:pPr>
            <w:r>
              <w:rPr>
                <w:rFonts w:ascii="Times New Roman" w:hAnsi="Times New Roman"/>
              </w:rPr>
              <w:t>——内审首末次会议签到（领导层、各部门负责人）；</w:t>
            </w:r>
          </w:p>
          <w:p>
            <w:pPr>
              <w:spacing w:line="320" w:lineRule="exact"/>
              <w:rPr>
                <w:rFonts w:ascii="Times New Roman" w:hAnsi="Times New Roman"/>
              </w:rPr>
            </w:pPr>
            <w:r>
              <w:rPr>
                <w:rFonts w:ascii="Times New Roman" w:hAnsi="Times New Roman"/>
              </w:rPr>
              <w:t>——内部审核检查表，审核按计划进行，没有遗漏标准条款及体系覆盖的部门和场所，内审员没有审核自己的工作。</w:t>
            </w:r>
          </w:p>
          <w:p>
            <w:pPr>
              <w:spacing w:line="320" w:lineRule="exact"/>
              <w:rPr>
                <w:rFonts w:ascii="Times New Roman" w:hAnsi="Times New Roman"/>
              </w:rPr>
            </w:pPr>
            <w:r>
              <w:rPr>
                <w:rFonts w:ascii="Times New Roman" w:hAnsi="Times New Roman"/>
              </w:rPr>
              <w:t>——本次内审发现</w:t>
            </w:r>
            <w:r>
              <w:rPr>
                <w:rFonts w:hint="eastAsia" w:ascii="Times New Roman" w:hAnsi="Times New Roman"/>
              </w:rPr>
              <w:t>1</w:t>
            </w:r>
            <w:r>
              <w:rPr>
                <w:rFonts w:ascii="Times New Roman" w:hAnsi="Times New Roman"/>
              </w:rPr>
              <w:t>项不合格，为一般不符合项，查看《不符合报告》（综合部E</w:t>
            </w:r>
            <w:r>
              <w:rPr>
                <w:rFonts w:hint="eastAsia" w:ascii="Times New Roman" w:hAnsi="Times New Roman"/>
              </w:rPr>
              <w:t>8.1</w:t>
            </w:r>
            <w:r>
              <w:rPr>
                <w:rFonts w:ascii="Times New Roman" w:hAnsi="Times New Roman"/>
              </w:rPr>
              <w:t>），不符合事实描述清晰，不符合原因分析准确，并制定了纠正及纠正预防措施，且措施可行，并对其有效性进行了验证</w:t>
            </w:r>
          </w:p>
          <w:p>
            <w:pPr>
              <w:spacing w:line="320" w:lineRule="exact"/>
              <w:rPr>
                <w:rFonts w:hint="eastAsia" w:asciiTheme="minorEastAsia" w:hAnsiTheme="minorEastAsia" w:eastAsiaTheme="minorEastAsia" w:cstheme="minorEastAsia"/>
                <w:szCs w:val="21"/>
              </w:rPr>
            </w:pPr>
            <w:r>
              <w:rPr>
                <w:rFonts w:ascii="Times New Roman" w:hAnsi="Times New Roman"/>
              </w:rPr>
              <w:t>——本次内审编制有《内部管理体系审核报告》，结论：公司的质量、环境和职业健康安全管理体系符合ISO9001:2015、ISO14001:2015和ISO45001:2018、GB/T50430-2017标准的要求。</w:t>
            </w:r>
            <w:r>
              <w:rPr>
                <w:rFonts w:hint="eastAsia" w:ascii="Times New Roman" w:hAnsi="Times New Roman"/>
              </w:rPr>
              <w:t>编制：戴 田 辉</w:t>
            </w:r>
            <w:r>
              <w:rPr>
                <w:rFonts w:hint="eastAsia" w:ascii="Times New Roman" w:hAnsi="Times New Roman"/>
                <w:lang w:eastAsia="zh-CN"/>
              </w:rPr>
              <w:t>，</w:t>
            </w:r>
            <w:r>
              <w:rPr>
                <w:rFonts w:hint="eastAsia" w:ascii="Times New Roman" w:hAnsi="Times New Roman"/>
              </w:rPr>
              <w:t>批准：姚 光 东 </w:t>
            </w:r>
            <w:r>
              <w:rPr>
                <w:rFonts w:ascii="Times New Roman" w:hAnsi="Times New Roman"/>
              </w:rPr>
              <w:t>2020.</w:t>
            </w:r>
            <w:r>
              <w:rPr>
                <w:rFonts w:hint="eastAsia" w:ascii="Times New Roman" w:hAnsi="Times New Roman"/>
              </w:rPr>
              <w:t>7</w:t>
            </w:r>
            <w:r>
              <w:rPr>
                <w:rFonts w:ascii="Times New Roman" w:hAnsi="Times New Roman"/>
              </w:rPr>
              <w:t>.</w:t>
            </w:r>
            <w:r>
              <w:rPr>
                <w:rFonts w:hint="eastAsia" w:ascii="Times New Roman" w:hAnsi="Times New Roman"/>
              </w:rPr>
              <w:t>28</w:t>
            </w:r>
          </w:p>
        </w:tc>
        <w:tc>
          <w:tcPr>
            <w:tcW w:w="655" w:type="dxa"/>
            <w:vAlign w:val="top"/>
          </w:tcPr>
          <w:p>
            <w:pPr>
              <w:spacing w:line="320" w:lineRule="exact"/>
              <w:rPr>
                <w:rFonts w:hint="eastAsia" w:asciiTheme="minorEastAsia" w:hAnsiTheme="minorEastAsia" w:eastAsiaTheme="minorEastAsia" w:cstheme="minorEastAsia"/>
                <w:szCs w:val="21"/>
              </w:rPr>
            </w:pPr>
            <w:r>
              <w:rPr>
                <w:rFonts w:ascii="Times New Roman" w:hAnsi="Times New Roman"/>
              </w:rPr>
              <w:t>OK</w:t>
            </w:r>
          </w:p>
        </w:tc>
      </w:tr>
    </w:tbl>
    <w:p>
      <w:pPr>
        <w:pStyle w:val="5"/>
        <w:rPr>
          <w:rFonts w:hint="eastAsia"/>
        </w:rPr>
      </w:pPr>
    </w:p>
    <w:p>
      <w:pPr>
        <w:pStyle w:val="5"/>
        <w:rPr>
          <w:rFonts w:hint="eastAsia"/>
        </w:rPr>
      </w:pP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043"/>
        <w:gridCol w:w="12154"/>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84" w:type="pct"/>
            <w:vMerge w:val="restart"/>
            <w:noWrap w:val="0"/>
            <w:vAlign w:val="center"/>
          </w:tcPr>
          <w:p>
            <w:pPr>
              <w:spacing w:line="320" w:lineRule="exact"/>
              <w:rPr>
                <w:rFonts w:ascii="Times New Roman" w:hAnsi="Times New Roman"/>
              </w:rPr>
            </w:pPr>
            <w:r>
              <w:rPr>
                <w:rFonts w:ascii="Times New Roman" w:hAnsi="Times New Roman"/>
              </w:rPr>
              <w:t>过程与活动、抽样计划</w:t>
            </w:r>
          </w:p>
        </w:tc>
        <w:tc>
          <w:tcPr>
            <w:tcW w:w="350" w:type="pct"/>
            <w:vMerge w:val="restart"/>
            <w:noWrap w:val="0"/>
            <w:vAlign w:val="center"/>
          </w:tcPr>
          <w:p>
            <w:pPr>
              <w:spacing w:line="320" w:lineRule="exact"/>
              <w:rPr>
                <w:rFonts w:ascii="Times New Roman" w:hAnsi="Times New Roman"/>
              </w:rPr>
            </w:pPr>
            <w:r>
              <w:rPr>
                <w:rFonts w:ascii="Times New Roman" w:hAnsi="Times New Roman"/>
              </w:rPr>
              <w:t>涉及</w:t>
            </w:r>
          </w:p>
          <w:p>
            <w:pPr>
              <w:spacing w:line="320" w:lineRule="exact"/>
              <w:rPr>
                <w:rFonts w:ascii="Times New Roman" w:hAnsi="Times New Roman"/>
              </w:rPr>
            </w:pPr>
            <w:r>
              <w:rPr>
                <w:rFonts w:ascii="Times New Roman" w:hAnsi="Times New Roman"/>
              </w:rPr>
              <w:t>条款</w:t>
            </w:r>
          </w:p>
        </w:tc>
        <w:tc>
          <w:tcPr>
            <w:tcW w:w="4083" w:type="pct"/>
            <w:noWrap w:val="0"/>
            <w:vAlign w:val="center"/>
          </w:tcPr>
          <w:p>
            <w:pPr>
              <w:spacing w:line="320" w:lineRule="exact"/>
              <w:rPr>
                <w:rFonts w:ascii="宋体" w:hAnsi="宋体"/>
              </w:rPr>
            </w:pPr>
            <w:r>
              <w:rPr>
                <w:rFonts w:ascii="宋体" w:hAnsi="宋体"/>
              </w:rPr>
              <w:t xml:space="preserve">受审核部门：管理层     </w:t>
            </w:r>
            <w:r>
              <w:rPr>
                <w:rFonts w:hint="eastAsia" w:ascii="宋体" w:hAnsi="宋体"/>
              </w:rPr>
              <w:t xml:space="preserve">主管领导：总经理/管代  </w:t>
            </w:r>
            <w:r>
              <w:rPr>
                <w:rFonts w:hint="eastAsia" w:ascii="宋体" w:hAnsi="宋体"/>
                <w:lang w:val="en-US" w:eastAsia="zh-CN"/>
              </w:rPr>
              <w:t>姚光东</w:t>
            </w:r>
            <w:r>
              <w:rPr>
                <w:rFonts w:hint="eastAsia" w:ascii="宋体" w:hAnsi="宋体"/>
              </w:rPr>
              <w:t>/戴田辉     陪同人员：</w:t>
            </w:r>
            <w:r>
              <w:rPr>
                <w:rFonts w:hint="eastAsia" w:ascii="宋体" w:hAnsi="宋体"/>
                <w:lang w:val="en-US" w:eastAsia="zh-CN"/>
              </w:rPr>
              <w:t>耿玉雪</w:t>
            </w:r>
          </w:p>
        </w:tc>
        <w:tc>
          <w:tcPr>
            <w:tcW w:w="182" w:type="pct"/>
            <w:vMerge w:val="restart"/>
            <w:noWrap w:val="0"/>
            <w:vAlign w:val="center"/>
          </w:tcPr>
          <w:p>
            <w:pPr>
              <w:spacing w:line="320" w:lineRule="exact"/>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84" w:type="pct"/>
            <w:vMerge w:val="continue"/>
            <w:noWrap w:val="0"/>
            <w:vAlign w:val="center"/>
          </w:tcPr>
          <w:p>
            <w:pPr>
              <w:spacing w:line="320" w:lineRule="exact"/>
              <w:rPr>
                <w:rFonts w:ascii="Times New Roman" w:hAnsi="Times New Roman"/>
              </w:rPr>
            </w:pPr>
          </w:p>
        </w:tc>
        <w:tc>
          <w:tcPr>
            <w:tcW w:w="350" w:type="pct"/>
            <w:vMerge w:val="continue"/>
            <w:noWrap w:val="0"/>
            <w:vAlign w:val="center"/>
          </w:tcPr>
          <w:p>
            <w:pPr>
              <w:spacing w:line="320" w:lineRule="exact"/>
              <w:rPr>
                <w:rFonts w:ascii="Times New Roman" w:hAnsi="Times New Roman"/>
              </w:rPr>
            </w:pPr>
          </w:p>
        </w:tc>
        <w:tc>
          <w:tcPr>
            <w:tcW w:w="4083" w:type="pct"/>
            <w:noWrap w:val="0"/>
            <w:vAlign w:val="center"/>
          </w:tcPr>
          <w:p>
            <w:pPr>
              <w:spacing w:line="320" w:lineRule="exact"/>
              <w:rPr>
                <w:rFonts w:ascii="宋体" w:hAnsi="宋体"/>
              </w:rPr>
            </w:pPr>
            <w:r>
              <w:rPr>
                <w:rFonts w:ascii="宋体" w:hAnsi="宋体"/>
              </w:rPr>
              <w:t>审核员：</w:t>
            </w:r>
            <w:r>
              <w:rPr>
                <w:rFonts w:hint="eastAsia" w:ascii="宋体" w:hAnsi="宋体"/>
                <w:lang w:val="en-US" w:eastAsia="zh-CN"/>
              </w:rPr>
              <w:t>周文廷</w:t>
            </w:r>
            <w:r>
              <w:rPr>
                <w:rFonts w:ascii="宋体" w:hAnsi="宋体"/>
              </w:rPr>
              <w:t xml:space="preserve">      </w:t>
            </w:r>
            <w:r>
              <w:rPr>
                <w:rFonts w:hint="eastAsia" w:ascii="宋体" w:hAnsi="宋体"/>
                <w:lang w:val="en-US" w:eastAsia="zh-CN"/>
              </w:rPr>
              <w:t xml:space="preserve">  </w:t>
            </w:r>
            <w:r>
              <w:rPr>
                <w:rFonts w:ascii="宋体" w:hAnsi="宋体"/>
              </w:rPr>
              <w:t>审核时间：2020.</w:t>
            </w:r>
            <w:r>
              <w:rPr>
                <w:rFonts w:hint="eastAsia" w:ascii="宋体" w:hAnsi="宋体"/>
              </w:rPr>
              <w:t>1</w:t>
            </w:r>
            <w:r>
              <w:rPr>
                <w:rFonts w:hint="eastAsia" w:ascii="宋体" w:hAnsi="宋体"/>
                <w:lang w:val="en-US" w:eastAsia="zh-CN"/>
              </w:rPr>
              <w:t>1</w:t>
            </w:r>
            <w:r>
              <w:rPr>
                <w:rFonts w:hint="eastAsia" w:ascii="宋体" w:hAnsi="宋体"/>
              </w:rPr>
              <w:t>.</w:t>
            </w:r>
            <w:r>
              <w:rPr>
                <w:rFonts w:hint="eastAsia" w:ascii="宋体" w:hAnsi="宋体"/>
                <w:lang w:val="en-US" w:eastAsia="zh-CN"/>
              </w:rPr>
              <w:t>21</w:t>
            </w:r>
          </w:p>
        </w:tc>
        <w:tc>
          <w:tcPr>
            <w:tcW w:w="182"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384" w:type="pct"/>
            <w:vMerge w:val="continue"/>
            <w:noWrap w:val="0"/>
            <w:vAlign w:val="center"/>
          </w:tcPr>
          <w:p>
            <w:pPr>
              <w:spacing w:line="320" w:lineRule="exact"/>
              <w:rPr>
                <w:rFonts w:ascii="Times New Roman" w:hAnsi="Times New Roman"/>
              </w:rPr>
            </w:pPr>
          </w:p>
        </w:tc>
        <w:tc>
          <w:tcPr>
            <w:tcW w:w="350" w:type="pct"/>
            <w:vMerge w:val="continue"/>
            <w:noWrap w:val="0"/>
            <w:vAlign w:val="center"/>
          </w:tcPr>
          <w:p>
            <w:pPr>
              <w:spacing w:line="320" w:lineRule="exact"/>
              <w:rPr>
                <w:rFonts w:ascii="Times New Roman" w:hAnsi="Times New Roman"/>
              </w:rPr>
            </w:pPr>
          </w:p>
        </w:tc>
        <w:tc>
          <w:tcPr>
            <w:tcW w:w="4083" w:type="pct"/>
            <w:noWrap w:val="0"/>
            <w:vAlign w:val="center"/>
          </w:tcPr>
          <w:p>
            <w:pPr>
              <w:spacing w:line="320" w:lineRule="exact"/>
              <w:rPr>
                <w:rFonts w:ascii="宋体" w:hAnsi="宋体"/>
              </w:rPr>
            </w:pPr>
            <w:r>
              <w:rPr>
                <w:rFonts w:ascii="宋体" w:hAnsi="宋体"/>
              </w:rPr>
              <w:t>审核条款：O4.1/4.2/4.3/4.4/5.1/5.2/5.3/6.1/6.2/6.3/7.1/9.1.1/9.3/10.1/10.3</w:t>
            </w:r>
          </w:p>
        </w:tc>
        <w:tc>
          <w:tcPr>
            <w:tcW w:w="182"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84" w:type="pct"/>
            <w:noWrap w:val="0"/>
            <w:vAlign w:val="center"/>
          </w:tcPr>
          <w:p>
            <w:pPr>
              <w:spacing w:line="320" w:lineRule="exact"/>
              <w:rPr>
                <w:rFonts w:ascii="Times New Roman" w:hAnsi="Times New Roman"/>
              </w:rPr>
            </w:pPr>
            <w:r>
              <w:rPr>
                <w:rFonts w:ascii="Times New Roman" w:hAnsi="Times New Roman"/>
              </w:rPr>
              <w:t>理解组织及其环境</w:t>
            </w:r>
          </w:p>
        </w:tc>
        <w:tc>
          <w:tcPr>
            <w:tcW w:w="350" w:type="pct"/>
            <w:noWrap w:val="0"/>
            <w:vAlign w:val="center"/>
          </w:tcPr>
          <w:p>
            <w:pPr>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Q4.1</w:t>
            </w:r>
          </w:p>
          <w:p>
            <w:pPr>
              <w:adjustRightInd w:val="0"/>
              <w:snapToGrid w:val="0"/>
              <w:spacing w:line="240" w:lineRule="auto"/>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J:3.3/</w:t>
            </w:r>
          </w:p>
          <w:p>
            <w:pPr>
              <w:spacing w:line="320" w:lineRule="exact"/>
              <w:rPr>
                <w:rFonts w:ascii="Times New Roman" w:hAnsi="Times New Roman"/>
              </w:rPr>
            </w:pPr>
            <w:r>
              <w:rPr>
                <w:rFonts w:hint="eastAsia" w:asciiTheme="minorEastAsia" w:hAnsiTheme="minorEastAsia" w:eastAsiaTheme="minorEastAsia" w:cstheme="minorEastAsia"/>
                <w:sz w:val="21"/>
                <w:szCs w:val="21"/>
              </w:rPr>
              <w:t>3.4</w:t>
            </w:r>
          </w:p>
        </w:tc>
        <w:tc>
          <w:tcPr>
            <w:tcW w:w="4083" w:type="pct"/>
            <w:noWrap w:val="0"/>
            <w:vAlign w:val="center"/>
          </w:tcPr>
          <w:p>
            <w:pPr>
              <w:widowControl w:val="0"/>
              <w:numPr>
                <w:ilvl w:val="0"/>
                <w:numId w:val="0"/>
              </w:numPr>
              <w:jc w:val="both"/>
              <w:rPr>
                <w:rFonts w:hint="eastAsia" w:ascii="宋体" w:hAnsi="宋体" w:eastAsia="宋体" w:cs="宋体"/>
                <w:b w:val="0"/>
                <w:bCs w:val="0"/>
                <w:sz w:val="21"/>
                <w:szCs w:val="21"/>
                <w:lang w:val="zh-CN" w:eastAsia="zh-CN"/>
              </w:rPr>
            </w:pPr>
            <w:r>
              <w:rPr>
                <w:rFonts w:ascii="Times New Roman" w:hAnsi="Times New Roman"/>
              </w:rPr>
              <w:t>■</w:t>
            </w:r>
            <w:r>
              <w:rPr>
                <w:rFonts w:ascii="Times New Roman" w:hAnsi="Times New Roman"/>
                <w:lang w:val="zh-CN"/>
              </w:rPr>
              <w:t>基本情况：</w:t>
            </w:r>
            <w:r>
              <w:rPr>
                <w:rFonts w:hint="eastAsia" w:ascii="Times New Roman" w:hAnsi="Times New Roman"/>
                <w:lang w:val="en-US" w:eastAsia="zh-CN"/>
              </w:rPr>
              <w:t>明光市众建市政工程</w:t>
            </w:r>
            <w:r>
              <w:rPr>
                <w:rFonts w:hint="eastAsia" w:ascii="Times New Roman" w:hAnsi="Times New Roman"/>
              </w:rPr>
              <w:t>有限公司</w:t>
            </w:r>
            <w:r>
              <w:rPr>
                <w:rFonts w:ascii="Times New Roman" w:hAnsi="Times New Roman"/>
              </w:rPr>
              <w:t>，成立于20</w:t>
            </w:r>
            <w:r>
              <w:rPr>
                <w:rFonts w:hint="eastAsia" w:ascii="Times New Roman" w:hAnsi="Times New Roman"/>
                <w:lang w:val="en-US" w:eastAsia="zh-CN"/>
              </w:rPr>
              <w:t>1</w:t>
            </w:r>
            <w:r>
              <w:rPr>
                <w:rFonts w:hint="eastAsia" w:ascii="Times New Roman" w:hAnsi="Times New Roman"/>
              </w:rPr>
              <w:t>6</w:t>
            </w:r>
            <w:r>
              <w:rPr>
                <w:rFonts w:ascii="Times New Roman" w:hAnsi="Times New Roman"/>
              </w:rPr>
              <w:t>年</w:t>
            </w:r>
            <w:r>
              <w:rPr>
                <w:rFonts w:hint="eastAsia" w:ascii="Times New Roman" w:hAnsi="Times New Roman"/>
              </w:rPr>
              <w:t>3</w:t>
            </w:r>
            <w:r>
              <w:rPr>
                <w:rFonts w:ascii="Times New Roman" w:hAnsi="Times New Roman"/>
              </w:rPr>
              <w:t>月</w:t>
            </w:r>
            <w:r>
              <w:rPr>
                <w:rFonts w:hint="eastAsia" w:ascii="Times New Roman" w:hAnsi="Times New Roman"/>
                <w:lang w:val="en-US" w:eastAsia="zh-CN"/>
              </w:rPr>
              <w:t>1</w:t>
            </w:r>
            <w:r>
              <w:rPr>
                <w:rFonts w:hint="eastAsia" w:ascii="Times New Roman" w:hAnsi="Times New Roman"/>
              </w:rPr>
              <w:t>1</w:t>
            </w:r>
            <w:r>
              <w:rPr>
                <w:rFonts w:ascii="Times New Roman" w:hAnsi="Times New Roman"/>
              </w:rPr>
              <w:t>日，注册资金</w:t>
            </w:r>
            <w:r>
              <w:rPr>
                <w:rFonts w:hint="eastAsia" w:ascii="Times New Roman" w:hAnsi="Times New Roman"/>
                <w:lang w:val="en-US" w:eastAsia="zh-CN"/>
              </w:rPr>
              <w:t>1088</w:t>
            </w:r>
            <w:r>
              <w:rPr>
                <w:rFonts w:ascii="Times New Roman" w:hAnsi="Times New Roman"/>
              </w:rPr>
              <w:t>万元</w:t>
            </w:r>
            <w:r>
              <w:rPr>
                <w:rFonts w:hint="eastAsia"/>
              </w:rPr>
              <w:t>，注册地址：</w:t>
            </w:r>
            <w:r>
              <w:rPr>
                <w:rFonts w:hint="eastAsia"/>
                <w:lang w:val="en-US" w:eastAsia="zh-CN"/>
              </w:rPr>
              <w:t>明光市明珠大道38号慧景名苑1号楼2单元</w:t>
            </w:r>
            <w:r>
              <w:rPr>
                <w:rFonts w:hint="eastAsia"/>
              </w:rPr>
              <w:t>10</w:t>
            </w:r>
            <w:r>
              <w:rPr>
                <w:rFonts w:hint="eastAsia"/>
                <w:lang w:val="en-US" w:eastAsia="zh-CN"/>
              </w:rPr>
              <w:t>1</w:t>
            </w:r>
            <w:r>
              <w:rPr>
                <w:rFonts w:hint="eastAsia"/>
              </w:rPr>
              <w:t>室，</w:t>
            </w:r>
            <w:r>
              <w:rPr>
                <w:rFonts w:ascii="Times New Roman" w:hAnsi="Times New Roman"/>
              </w:rPr>
              <w:t>主要从事</w:t>
            </w:r>
            <w:r>
              <w:rPr>
                <w:rFonts w:hint="eastAsia" w:ascii="Times New Roman" w:hAnsi="Times New Roman"/>
              </w:rPr>
              <w:t>资质等级范围内的</w:t>
            </w:r>
            <w:r>
              <w:rPr>
                <w:rFonts w:hint="eastAsia" w:ascii="Times New Roman" w:hAnsi="Times New Roman"/>
                <w:lang w:val="en-US" w:eastAsia="zh-CN"/>
              </w:rPr>
              <w:t>市政公用工程施工总承包、</w:t>
            </w:r>
            <w:r>
              <w:rPr>
                <w:rFonts w:hint="eastAsia" w:ascii="Times New Roman" w:hAnsi="Times New Roman"/>
              </w:rPr>
              <w:t>建筑</w:t>
            </w:r>
            <w:r>
              <w:rPr>
                <w:rFonts w:hint="eastAsia" w:ascii="Times New Roman" w:hAnsi="Times New Roman"/>
                <w:lang w:val="en-US" w:eastAsia="zh-CN"/>
              </w:rPr>
              <w:t>工程施工总承包、水利水电施工总承包、钢结构工程专业承包、环保工程专业承包、防水防腐保温工程专业承包、建筑装修装饰工程专业承包等</w:t>
            </w:r>
            <w:r>
              <w:rPr>
                <w:rFonts w:ascii="Times New Roman" w:hAnsi="Times New Roman"/>
              </w:rPr>
              <w:t>业务，</w:t>
            </w:r>
            <w:r>
              <w:rPr>
                <w:rFonts w:hint="eastAsia" w:ascii="Times New Roman" w:hAnsi="Times New Roman"/>
                <w:lang w:val="en-US" w:eastAsia="zh-CN"/>
              </w:rPr>
              <w:t>使用以下</w:t>
            </w:r>
            <w:r>
              <w:rPr>
                <w:rFonts w:ascii="Times New Roman" w:hAnsi="Times New Roman"/>
              </w:rPr>
              <w:t>设备和仪器：</w:t>
            </w:r>
            <w:r>
              <w:rPr>
                <w:rFonts w:hint="eastAsia" w:ascii="宋体" w:hAnsi="宋体" w:eastAsia="宋体" w:cs="宋体"/>
                <w:b w:val="0"/>
                <w:bCs w:val="0"/>
                <w:sz w:val="21"/>
                <w:szCs w:val="21"/>
                <w:lang w:val="en-US" w:eastAsia="zh-CN"/>
              </w:rPr>
              <w:t>挖掘机、推土机、装载机、振动压路机、沥青砼摊铺机、轮式压路机、柴油发电机、汽车吊、砼拌和机、交流电焊机、打夯机、插入式振动机、平板振动机、钢筋切割机、破碎机、卷扬机、氧焊设备、手推车、自卸卡车、灰浆搅拌机、全站仪、经纬仪、水准仪、木工圆锯机、皮尺等</w:t>
            </w:r>
            <w:r>
              <w:rPr>
                <w:rFonts w:hint="eastAsia" w:ascii="宋体" w:hAnsi="宋体" w:eastAsia="宋体" w:cs="宋体"/>
                <w:b w:val="0"/>
                <w:bCs w:val="0"/>
                <w:sz w:val="21"/>
                <w:szCs w:val="21"/>
                <w:lang w:val="zh-CN" w:eastAsia="zh-CN"/>
              </w:rPr>
              <w:t>。</w:t>
            </w:r>
          </w:p>
          <w:p>
            <w:pPr>
              <w:spacing w:line="320" w:lineRule="exact"/>
              <w:rPr>
                <w:rFonts w:ascii="Times New Roman" w:hAnsi="Times New Roman"/>
              </w:rPr>
            </w:pPr>
            <w:r>
              <w:rPr>
                <w:rFonts w:ascii="Times New Roman" w:hAnsi="Times New Roman"/>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ascii="Times New Roman" w:hAnsi="Times New Roman"/>
                <w:lang w:val="en-GB"/>
              </w:rPr>
              <w:t>通过制定管理制度、作业文件及相关措施，对活动的主要环节实施了有效的控制。</w:t>
            </w:r>
            <w:r>
              <w:rPr>
                <w:rFonts w:ascii="Times New Roman" w:hAnsi="Times New Roman"/>
              </w:rPr>
              <w:t>各种制度及规定基本建立。管理手册中对组织机构和职责进行了策划，形成了文件。组织机构的设置，职责、权限的分配基本明确，基本适宜，人力资源基本满足需求。</w:t>
            </w:r>
          </w:p>
          <w:p>
            <w:pPr>
              <w:spacing w:line="320" w:lineRule="exact"/>
              <w:rPr>
                <w:rFonts w:ascii="Times New Roman" w:hAnsi="Times New Roman"/>
                <w:lang w:val="zh-CN"/>
              </w:rPr>
            </w:pPr>
            <w:r>
              <w:rPr>
                <w:rFonts w:ascii="Times New Roman" w:hAnsi="Times New Roman"/>
                <w:lang w:val="zh-CN"/>
              </w:rPr>
              <w:t>公司高层通过及时了解国家相关政策、与客户/同行业/上下游产业的交流等方式认识公司的所处的环境，并制定经营思路。</w:t>
            </w:r>
          </w:p>
          <w:p>
            <w:pPr>
              <w:spacing w:line="320" w:lineRule="exact"/>
              <w:rPr>
                <w:rFonts w:hint="eastAsia" w:ascii="Times New Roman" w:hAnsi="Times New Roman"/>
                <w:lang w:val="zh-CN"/>
              </w:rPr>
            </w:pPr>
            <w:r>
              <w:rPr>
                <w:rFonts w:ascii="Times New Roman" w:hAnsi="Times New Roman"/>
                <w:lang w:val="zh-CN"/>
              </w:rPr>
              <w:t>总经理介绍目前对公司影响较大的是自</w:t>
            </w:r>
            <w:r>
              <w:rPr>
                <w:rFonts w:hint="eastAsia" w:ascii="Times New Roman" w:hAnsi="Times New Roman"/>
                <w:lang w:val="en-US" w:eastAsia="zh-CN"/>
              </w:rPr>
              <w:t>2019</w:t>
            </w:r>
            <w:r>
              <w:rPr>
                <w:rFonts w:ascii="Times New Roman" w:hAnsi="Times New Roman"/>
                <w:lang w:val="zh-CN"/>
              </w:rPr>
              <w:t>年12月份新冠肺炎疫情</w:t>
            </w:r>
            <w:r>
              <w:rPr>
                <w:rFonts w:hint="eastAsia" w:ascii="Times New Roman" w:hAnsi="Times New Roman"/>
                <w:lang w:val="en-US" w:eastAsia="zh-CN"/>
              </w:rPr>
              <w:t>以来</w:t>
            </w:r>
            <w:r>
              <w:rPr>
                <w:rFonts w:hint="eastAsia" w:ascii="Times New Roman" w:hAnsi="Times New Roman"/>
                <w:lang w:val="zh-CN" w:eastAsia="zh-CN"/>
              </w:rPr>
              <w:t>，</w:t>
            </w:r>
            <w:r>
              <w:rPr>
                <w:rFonts w:ascii="Times New Roman" w:hAnsi="Times New Roman"/>
                <w:lang w:val="zh-CN"/>
              </w:rPr>
              <w:t>各行各业都受到很大的冲击；考虑到疫情影响</w:t>
            </w:r>
            <w:r>
              <w:rPr>
                <w:rFonts w:hint="eastAsia" w:ascii="Times New Roman" w:hAnsi="Times New Roman"/>
                <w:lang w:val="zh-CN" w:eastAsia="zh-CN"/>
              </w:rPr>
              <w:t>，</w:t>
            </w:r>
            <w:r>
              <w:rPr>
                <w:rFonts w:hint="eastAsia" w:ascii="Times New Roman" w:hAnsi="Times New Roman"/>
                <w:lang w:val="en-US" w:eastAsia="zh-CN"/>
              </w:rPr>
              <w:t>加上国际国内</w:t>
            </w:r>
            <w:r>
              <w:rPr>
                <w:rFonts w:ascii="Times New Roman" w:hAnsi="Times New Roman"/>
                <w:lang w:val="zh-CN"/>
              </w:rPr>
              <w:t>经济政策环境</w:t>
            </w:r>
            <w:r>
              <w:rPr>
                <w:rFonts w:hint="eastAsia" w:ascii="Times New Roman" w:hAnsi="Times New Roman"/>
                <w:lang w:val="en-US" w:eastAsia="zh-CN"/>
              </w:rPr>
              <w:t>影响</w:t>
            </w:r>
            <w:r>
              <w:rPr>
                <w:rFonts w:ascii="Times New Roman" w:hAnsi="Times New Roman"/>
                <w:lang w:val="zh-CN"/>
              </w:rPr>
              <w:t>，同行竞争加剧</w:t>
            </w:r>
            <w:r>
              <w:rPr>
                <w:rFonts w:hint="eastAsia" w:ascii="Times New Roman" w:hAnsi="Times New Roman"/>
                <w:lang w:val="zh-CN"/>
              </w:rPr>
              <w:t>，</w:t>
            </w:r>
            <w:r>
              <w:rPr>
                <w:rFonts w:ascii="Times New Roman" w:hAnsi="Times New Roman"/>
                <w:lang w:val="zh-CN"/>
              </w:rPr>
              <w:t>原材料、人力成本增加，行业利润少、环保监察力度增大在环境和安全方面投入增大等。</w:t>
            </w:r>
          </w:p>
          <w:p>
            <w:pPr>
              <w:spacing w:line="320" w:lineRule="exact"/>
              <w:rPr>
                <w:rFonts w:ascii="Times New Roman" w:hAnsi="Times New Roman"/>
                <w:lang w:val="zh-CN"/>
              </w:rPr>
            </w:pPr>
            <w:r>
              <w:rPr>
                <w:rFonts w:hint="eastAsia" w:ascii="Times New Roman" w:hAnsi="Times New Roman"/>
                <w:lang w:val="zh-CN"/>
              </w:rPr>
              <w:t>另外施工特点为点多、面散，环境、安全问题突出，也是公司施工的风险点。</w:t>
            </w:r>
          </w:p>
          <w:p>
            <w:pPr>
              <w:spacing w:line="320" w:lineRule="exact"/>
              <w:rPr>
                <w:rFonts w:ascii="Times New Roman" w:hAnsi="Times New Roman"/>
                <w:lang w:val="zh-CN"/>
              </w:rPr>
            </w:pPr>
            <w:r>
              <w:rPr>
                <w:rFonts w:ascii="Times New Roman" w:hAnsi="Times New Roman"/>
                <w:lang w:val="zh-CN"/>
              </w:rPr>
              <w:t>应对措施</w:t>
            </w:r>
            <w:r>
              <w:rPr>
                <w:rFonts w:hint="eastAsia" w:ascii="Times New Roman" w:hAnsi="Times New Roman"/>
                <w:lang w:val="zh-CN"/>
              </w:rPr>
              <w:t>：</w:t>
            </w:r>
            <w:r>
              <w:rPr>
                <w:rFonts w:ascii="Times New Roman" w:hAnsi="Times New Roman"/>
                <w:lang w:val="zh-CN"/>
              </w:rPr>
              <w:t>努力将现有的工程打造成样板工程，提升口碑，以稳定并扩大</w:t>
            </w:r>
            <w:r>
              <w:rPr>
                <w:rFonts w:hint="eastAsia" w:ascii="Times New Roman" w:hAnsi="Times New Roman"/>
                <w:lang w:val="zh-CN"/>
              </w:rPr>
              <w:t>相关</w:t>
            </w:r>
            <w:r>
              <w:rPr>
                <w:rFonts w:ascii="Times New Roman" w:hAnsi="Times New Roman"/>
                <w:lang w:val="zh-CN"/>
              </w:rPr>
              <w:t>业务，通过培训增强公司标书的编写能力，增加在投标过程中的中标概率</w:t>
            </w:r>
            <w:r>
              <w:rPr>
                <w:rFonts w:hint="eastAsia" w:ascii="Times New Roman" w:hAnsi="Times New Roman"/>
                <w:lang w:val="zh-CN"/>
              </w:rPr>
              <w:t>，</w:t>
            </w:r>
            <w:r>
              <w:rPr>
                <w:rFonts w:ascii="Times New Roman" w:hAnsi="Times New Roman"/>
                <w:lang w:val="zh-CN"/>
              </w:rPr>
              <w:t>积极组织公司员工进行专业培训，提升员工职业技能，提高工作效率。</w:t>
            </w:r>
          </w:p>
        </w:tc>
        <w:tc>
          <w:tcPr>
            <w:tcW w:w="182" w:type="pct"/>
            <w:noWrap w:val="0"/>
            <w:vAlign w:val="top"/>
          </w:tcPr>
          <w:p>
            <w:pPr>
              <w:spacing w:line="320" w:lineRule="exact"/>
              <w:rPr>
                <w:rFonts w:hint="eastAsia"/>
                <w:lang w:val="en-US" w:eastAsia="zh-C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384" w:type="pct"/>
            <w:noWrap w:val="0"/>
            <w:vAlign w:val="center"/>
          </w:tcPr>
          <w:p>
            <w:pPr>
              <w:spacing w:line="320" w:lineRule="exact"/>
              <w:rPr>
                <w:rFonts w:ascii="Times New Roman" w:hAnsi="Times New Roman"/>
              </w:rPr>
            </w:pPr>
            <w:r>
              <w:rPr>
                <w:rFonts w:ascii="Times New Roman" w:hAnsi="Times New Roman"/>
              </w:rPr>
              <w:t>理解相关方需求和期望</w:t>
            </w:r>
          </w:p>
        </w:tc>
        <w:tc>
          <w:tcPr>
            <w:tcW w:w="350" w:type="pct"/>
            <w:noWrap w:val="0"/>
            <w:vAlign w:val="center"/>
          </w:tcPr>
          <w:p>
            <w:pPr>
              <w:spacing w:line="320" w:lineRule="exact"/>
            </w:pPr>
            <w:r>
              <w:rPr>
                <w:rFonts w:hint="eastAsia"/>
                <w:lang w:val="en-US" w:eastAsia="zh-CN"/>
              </w:rPr>
              <w:t>Q</w:t>
            </w:r>
            <w:r>
              <w:t>4.2</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J:3.3/</w:t>
            </w:r>
          </w:p>
          <w:p>
            <w:pPr>
              <w:pStyle w:val="2"/>
            </w:pPr>
            <w:r>
              <w:rPr>
                <w:rFonts w:hint="eastAsia" w:asciiTheme="minorEastAsia" w:hAnsiTheme="minorEastAsia" w:eastAsiaTheme="minorEastAsia" w:cstheme="minorEastAsia"/>
                <w:sz w:val="21"/>
                <w:szCs w:val="21"/>
              </w:rPr>
              <w:t>3.4</w:t>
            </w:r>
          </w:p>
        </w:tc>
        <w:tc>
          <w:tcPr>
            <w:tcW w:w="4083" w:type="pct"/>
            <w:noWrap w:val="0"/>
            <w:vAlign w:val="center"/>
          </w:tcPr>
          <w:p>
            <w:pPr>
              <w:spacing w:line="320" w:lineRule="exact"/>
              <w:rPr>
                <w:rFonts w:ascii="Times New Roman" w:hAnsi="Times New Roman"/>
                <w:lang w:val="zh-CN"/>
              </w:rPr>
            </w:pPr>
            <w:r>
              <w:rPr>
                <w:rFonts w:ascii="Times New Roman" w:hAnsi="Times New Roman"/>
                <w:lang w:val="zh-CN"/>
              </w:rPr>
              <w:t>跟</w:t>
            </w:r>
            <w:r>
              <w:rPr>
                <w:rFonts w:hint="eastAsia" w:ascii="Times New Roman" w:hAnsi="Times New Roman"/>
                <w:lang w:val="en-US" w:eastAsia="zh-CN"/>
              </w:rPr>
              <w:t>姚</w:t>
            </w:r>
            <w:r>
              <w:rPr>
                <w:rFonts w:hint="eastAsia" w:ascii="Times New Roman" w:hAnsi="Times New Roman"/>
                <w:lang w:val="zh-CN"/>
              </w:rPr>
              <w:t>总</w:t>
            </w:r>
            <w:r>
              <w:rPr>
                <w:rFonts w:ascii="Times New Roman" w:hAnsi="Times New Roman"/>
                <w:lang w:val="zh-CN"/>
              </w:rPr>
              <w:t>沟通了解到，公司的相关方包括：主要客户（发包方），最终使用者，供应方，分包方，监理、设计方、施工方，合作伙伴、政府主管部门，员工，银行，项目施工周围居民等。</w:t>
            </w:r>
          </w:p>
          <w:p>
            <w:pPr>
              <w:spacing w:line="320" w:lineRule="exact"/>
              <w:rPr>
                <w:rFonts w:ascii="Times New Roman" w:hAnsi="Times New Roman"/>
                <w:lang w:val="zh-CN"/>
              </w:rPr>
            </w:pPr>
            <w:r>
              <w:rPr>
                <w:rFonts w:ascii="Times New Roman" w:hAnsi="Times New Roman"/>
                <w:lang w:val="zh-CN"/>
              </w:rPr>
              <w:t>1、根据相关方对公司产品或服务存在的影响或潜在影响，通过不同的渠道(如市场预测</w:t>
            </w:r>
            <w:r>
              <w:rPr>
                <w:rFonts w:hint="eastAsia" w:ascii="Times New Roman" w:hAnsi="Times New Roman"/>
                <w:lang w:val="zh-CN"/>
              </w:rPr>
              <w:t>、</w:t>
            </w:r>
            <w:r>
              <w:rPr>
                <w:rFonts w:ascii="Times New Roman" w:hAnsi="Times New Roman"/>
                <w:lang w:val="zh-CN"/>
              </w:rPr>
              <w:t>上门拜访</w:t>
            </w:r>
            <w:r>
              <w:rPr>
                <w:rFonts w:hint="eastAsia" w:ascii="Times New Roman" w:hAnsi="Times New Roman"/>
                <w:lang w:val="zh-CN"/>
              </w:rPr>
              <w:t>、</w:t>
            </w:r>
            <w:r>
              <w:rPr>
                <w:rFonts w:ascii="Times New Roman" w:hAnsi="Times New Roman"/>
                <w:lang w:val="zh-CN"/>
              </w:rPr>
              <w:t>商务活动</w:t>
            </w:r>
            <w:r>
              <w:rPr>
                <w:rFonts w:hint="eastAsia" w:ascii="Times New Roman" w:hAnsi="Times New Roman"/>
                <w:lang w:val="zh-CN"/>
              </w:rPr>
              <w:t>、</w:t>
            </w:r>
            <w:r>
              <w:rPr>
                <w:rFonts w:ascii="Times New Roman" w:hAnsi="Times New Roman"/>
                <w:lang w:val="zh-CN"/>
              </w:rPr>
              <w:t>会议</w:t>
            </w:r>
            <w:r>
              <w:rPr>
                <w:rFonts w:hint="eastAsia" w:ascii="Times New Roman" w:hAnsi="Times New Roman"/>
                <w:lang w:val="zh-CN"/>
              </w:rPr>
              <w:t>、</w:t>
            </w:r>
            <w:r>
              <w:rPr>
                <w:rFonts w:ascii="Times New Roman" w:hAnsi="Times New Roman"/>
                <w:lang w:val="zh-CN"/>
              </w:rPr>
              <w:t>电话</w:t>
            </w:r>
            <w:r>
              <w:rPr>
                <w:rFonts w:hint="eastAsia" w:ascii="Times New Roman" w:hAnsi="Times New Roman"/>
                <w:lang w:val="zh-CN"/>
              </w:rPr>
              <w:t>、</w:t>
            </w:r>
            <w:r>
              <w:rPr>
                <w:rFonts w:ascii="Times New Roman" w:hAnsi="Times New Roman"/>
                <w:lang w:val="zh-CN"/>
              </w:rPr>
              <w:t>定期访问相关官网等)实施了收集并确定了相关方的需求</w:t>
            </w:r>
            <w:r>
              <w:rPr>
                <w:rFonts w:hint="eastAsia" w:ascii="Times New Roman" w:hAnsi="Times New Roman"/>
                <w:lang w:val="zh-CN"/>
              </w:rPr>
              <w:t>。</w:t>
            </w:r>
          </w:p>
          <w:p>
            <w:pPr>
              <w:spacing w:line="320" w:lineRule="exact"/>
              <w:rPr>
                <w:rFonts w:ascii="Times New Roman" w:hAnsi="Times New Roman"/>
                <w:lang w:val="zh-CN"/>
              </w:rPr>
            </w:pPr>
            <w:r>
              <w:rPr>
                <w:rFonts w:ascii="Times New Roman" w:hAnsi="Times New Roman"/>
                <w:lang w:val="zh-CN"/>
              </w:rPr>
              <w:t xml:space="preserve">2、优势：公司管理人员业务水平较高，资金比较充裕，工程技术管理人员经验丰富，人员稳定；自公司成立以来，承建的工程未发生质量、安全、环境污染事故；公司建造师、施工员、安全员、资料员等施工管理技术人员配备充足，技术能力水平较高。 </w:t>
            </w:r>
          </w:p>
          <w:p>
            <w:pPr>
              <w:spacing w:line="320" w:lineRule="exact"/>
              <w:rPr>
                <w:rFonts w:ascii="Times New Roman" w:hAnsi="Times New Roman"/>
                <w:lang w:val="zh-CN"/>
              </w:rPr>
            </w:pPr>
            <w:r>
              <w:rPr>
                <w:rFonts w:ascii="Times New Roman" w:hAnsi="Times New Roman"/>
                <w:lang w:val="zh-CN"/>
              </w:rPr>
              <w:t>3、劣势：行业内施工企业数量多，竞争激烈，</w:t>
            </w:r>
            <w:r>
              <w:rPr>
                <w:rFonts w:hint="eastAsia" w:ascii="Times New Roman" w:hAnsi="Times New Roman"/>
                <w:lang w:val="en-US" w:eastAsia="zh-CN"/>
              </w:rPr>
              <w:t>付款周期较长，</w:t>
            </w:r>
            <w:r>
              <w:rPr>
                <w:rFonts w:ascii="Times New Roman" w:hAnsi="Times New Roman"/>
                <w:lang w:val="zh-CN"/>
              </w:rPr>
              <w:t>利润率低；在招投标过程中经常遇到串标、围标等对公司不利的违规操作；会遇到工程款结算不及时的情况，从而对公司的资金链造成压力；工程项目竣工后审计过程中经常出现工程价款缩水的情况。</w:t>
            </w:r>
          </w:p>
          <w:p>
            <w:pPr>
              <w:spacing w:line="320" w:lineRule="exact"/>
              <w:rPr>
                <w:rFonts w:hint="eastAsia" w:ascii="Times New Roman" w:hAnsi="Times New Roman"/>
                <w:lang w:val="zh-CN"/>
              </w:rPr>
            </w:pPr>
            <w:r>
              <w:rPr>
                <w:rFonts w:ascii="Times New Roman" w:hAnsi="Times New Roman"/>
                <w:lang w:val="zh-CN"/>
              </w:rPr>
              <w:t>4、公司针对目前的各种情况</w:t>
            </w:r>
            <w:r>
              <w:rPr>
                <w:rFonts w:hint="eastAsia" w:ascii="Times New Roman" w:hAnsi="Times New Roman"/>
                <w:lang w:val="zh-CN"/>
              </w:rPr>
              <w:t>，</w:t>
            </w:r>
            <w:r>
              <w:rPr>
                <w:rFonts w:ascii="Times New Roman" w:hAnsi="Times New Roman"/>
                <w:lang w:val="zh-CN"/>
              </w:rPr>
              <w:t>对这些相关方的要求进行分析，哪些</w:t>
            </w:r>
            <w:r>
              <w:rPr>
                <w:rFonts w:hint="eastAsia" w:ascii="Times New Roman" w:hAnsi="Times New Roman"/>
                <w:lang w:val="en-US" w:eastAsia="zh-CN"/>
              </w:rPr>
              <w:t>可能</w:t>
            </w:r>
            <w:r>
              <w:rPr>
                <w:rFonts w:ascii="Times New Roman" w:hAnsi="Times New Roman"/>
                <w:lang w:val="zh-CN"/>
              </w:rPr>
              <w:t>成为企业的合规义务，公司在合同评审、管理制度和合规义务评价中进行确定和执行。</w:t>
            </w:r>
          </w:p>
          <w:p>
            <w:pPr>
              <w:spacing w:line="320" w:lineRule="exact"/>
              <w:rPr>
                <w:rFonts w:ascii="Times New Roman" w:hAnsi="Times New Roman"/>
                <w:lang w:val="zh-CN"/>
              </w:rPr>
            </w:pPr>
            <w:r>
              <w:rPr>
                <w:rFonts w:hint="eastAsia" w:ascii="Times New Roman" w:hAnsi="Times New Roman"/>
                <w:lang w:val="zh-CN"/>
              </w:rPr>
              <w:t>5、公司自领导层到施工项目部均与对接的相关方有良好的沟通，通过质量、安全、环保管理达到相关方满意。</w:t>
            </w:r>
          </w:p>
          <w:p>
            <w:pPr>
              <w:spacing w:line="320" w:lineRule="exact"/>
              <w:rPr>
                <w:rFonts w:ascii="Times New Roman" w:hAnsi="Times New Roman"/>
              </w:rPr>
            </w:pPr>
            <w:r>
              <w:rPr>
                <w:rFonts w:hint="eastAsia" w:ascii="Times New Roman" w:hAnsi="Times New Roman"/>
                <w:lang w:val="zh-CN"/>
              </w:rPr>
              <w:t>6</w:t>
            </w:r>
            <w:r>
              <w:rPr>
                <w:rFonts w:ascii="Times New Roman" w:hAnsi="Times New Roman"/>
                <w:lang w:val="zh-CN"/>
              </w:rPr>
              <w:t>、企业定期通过合同评审、合规性评价、顾客满意调查、社会认知度</w:t>
            </w:r>
            <w:r>
              <w:rPr>
                <w:rFonts w:hint="eastAsia" w:ascii="Times New Roman" w:hAnsi="Times New Roman"/>
                <w:lang w:val="en-US" w:eastAsia="zh-CN"/>
              </w:rPr>
              <w:t>考评</w:t>
            </w:r>
            <w:r>
              <w:rPr>
                <w:rFonts w:ascii="Times New Roman" w:hAnsi="Times New Roman"/>
                <w:lang w:val="zh-CN"/>
              </w:rPr>
              <w:t>等形式对相关方的需求和期望进行监视和评审，确立与各相关方的良好合作关系，认真服务社会，增强其满足程度，树立本企业在市场中的良好形象。同时追求管理改进提高。</w:t>
            </w:r>
          </w:p>
        </w:tc>
        <w:tc>
          <w:tcPr>
            <w:tcW w:w="182"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384" w:type="pct"/>
            <w:noWrap w:val="0"/>
            <w:vAlign w:val="center"/>
          </w:tcPr>
          <w:p>
            <w:pPr>
              <w:spacing w:line="320" w:lineRule="exact"/>
              <w:rPr>
                <w:rFonts w:ascii="Times New Roman" w:hAnsi="Times New Roman"/>
              </w:rPr>
            </w:pPr>
            <w:r>
              <w:rPr>
                <w:rFonts w:ascii="Times New Roman" w:hAnsi="Times New Roman"/>
              </w:rPr>
              <w:t>管理体系的范围</w:t>
            </w:r>
          </w:p>
        </w:tc>
        <w:tc>
          <w:tcPr>
            <w:tcW w:w="350" w:type="pct"/>
            <w:noWrap w:val="0"/>
            <w:vAlign w:val="center"/>
          </w:tcPr>
          <w:p>
            <w:pPr>
              <w:spacing w:line="320" w:lineRule="exact"/>
            </w:pPr>
            <w:r>
              <w:rPr>
                <w:rFonts w:hint="eastAsia"/>
                <w:lang w:val="en-US" w:eastAsia="zh-CN"/>
              </w:rPr>
              <w:t>Q</w:t>
            </w:r>
            <w:r>
              <w:t>4.3</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J:3.3/</w:t>
            </w:r>
          </w:p>
          <w:p>
            <w:pPr>
              <w:pStyle w:val="2"/>
            </w:pPr>
            <w:r>
              <w:rPr>
                <w:rFonts w:hint="eastAsia" w:asciiTheme="minorEastAsia" w:hAnsiTheme="minorEastAsia" w:eastAsiaTheme="minorEastAsia" w:cstheme="minorEastAsia"/>
                <w:sz w:val="21"/>
                <w:szCs w:val="21"/>
              </w:rPr>
              <w:t>3.4</w:t>
            </w:r>
          </w:p>
        </w:tc>
        <w:tc>
          <w:tcPr>
            <w:tcW w:w="4083" w:type="pct"/>
            <w:noWrap w:val="0"/>
            <w:vAlign w:val="center"/>
          </w:tcPr>
          <w:p>
            <w:pPr>
              <w:spacing w:line="320" w:lineRule="exact"/>
              <w:rPr>
                <w:rFonts w:ascii="Times New Roman" w:hAnsi="Times New Roman"/>
              </w:rPr>
            </w:pPr>
            <w:r>
              <w:rPr>
                <w:rFonts w:ascii="Times New Roman" w:hAnsi="Times New Roman"/>
              </w:rPr>
              <w:t>确认该公司管理体系适用范围是：</w:t>
            </w:r>
          </w:p>
          <w:p>
            <w:pPr>
              <w:rPr>
                <w:sz w:val="21"/>
                <w:szCs w:val="21"/>
              </w:rPr>
            </w:pPr>
            <w:r>
              <w:rPr>
                <w:sz w:val="21"/>
                <w:szCs w:val="21"/>
              </w:rPr>
              <w:t>EC：资质范围内的建筑工程施工总承包、市政公用工程总承包、水利水电工程施工总承包</w:t>
            </w:r>
          </w:p>
          <w:p>
            <w:pPr>
              <w:rPr>
                <w:sz w:val="21"/>
                <w:szCs w:val="21"/>
              </w:rPr>
            </w:pPr>
            <w:r>
              <w:rPr>
                <w:sz w:val="21"/>
                <w:szCs w:val="21"/>
              </w:rPr>
              <w:t>E：资质范围内的建筑工程施工总承包、市政公用工程总承包、水利水电工程施工总承包所涉及的相关环境管理活动</w:t>
            </w:r>
          </w:p>
          <w:p>
            <w:pPr>
              <w:spacing w:line="320" w:lineRule="exact"/>
              <w:rPr>
                <w:rFonts w:ascii="Times New Roman" w:hAnsi="Times New Roman"/>
              </w:rPr>
            </w:pPr>
            <w:r>
              <w:rPr>
                <w:sz w:val="21"/>
                <w:szCs w:val="21"/>
              </w:rPr>
              <w:t>O：建筑工程施工总承包、市政公用工程总承包、水利水电工程施工总承包所涉及的相关职业健康安全管理活动</w:t>
            </w:r>
          </w:p>
          <w:p>
            <w:pPr>
              <w:spacing w:line="320" w:lineRule="exact"/>
              <w:rPr>
                <w:rFonts w:ascii="Times New Roman" w:hAnsi="Times New Roman"/>
              </w:rPr>
            </w:pPr>
            <w:r>
              <w:rPr>
                <w:rFonts w:ascii="Times New Roman" w:hAnsi="Times New Roman"/>
              </w:rPr>
              <w:t>通过文件发放的方式在公司内部进行传递；在与客户沟通中，及时通知客户，为相关方获取。</w:t>
            </w:r>
          </w:p>
          <w:p>
            <w:pPr>
              <w:spacing w:line="320" w:lineRule="exact"/>
              <w:rPr>
                <w:rFonts w:ascii="Times New Roman" w:hAnsi="Times New Roman"/>
              </w:rPr>
            </w:pPr>
            <w:r>
              <w:rPr>
                <w:rFonts w:ascii="Times New Roman" w:hAnsi="Times New Roman"/>
              </w:rPr>
              <w:t>上述范围与企业目前经营范围相一致。</w:t>
            </w:r>
          </w:p>
        </w:tc>
        <w:tc>
          <w:tcPr>
            <w:tcW w:w="182" w:type="pct"/>
            <w:noWrap w:val="0"/>
            <w:vAlign w:val="top"/>
          </w:tcPr>
          <w:p>
            <w:pPr>
              <w:spacing w:line="320" w:lineRule="exact"/>
              <w:rPr>
                <w:rFonts w:hint="default"/>
                <w:lang w:val="en-US" w:eastAsia="zh-CN"/>
              </w:rPr>
            </w:pPr>
            <w:r>
              <w:rPr>
                <w:rFonts w:hint="eastAsia"/>
                <w:lang w:val="en-US" w:eastAsia="zh-CN"/>
              </w:rPr>
              <w:t>OK</w:t>
            </w:r>
          </w:p>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noWrap w:val="0"/>
            <w:vAlign w:val="center"/>
          </w:tcPr>
          <w:p>
            <w:pPr>
              <w:spacing w:line="320" w:lineRule="exact"/>
              <w:rPr>
                <w:rFonts w:ascii="Times New Roman" w:hAnsi="Times New Roman"/>
              </w:rPr>
            </w:pPr>
            <w:r>
              <w:rPr>
                <w:rFonts w:ascii="Times New Roman" w:hAnsi="Times New Roman"/>
              </w:rPr>
              <w:t>管理体系及其过程</w:t>
            </w:r>
          </w:p>
        </w:tc>
        <w:tc>
          <w:tcPr>
            <w:tcW w:w="350" w:type="pct"/>
            <w:noWrap w:val="0"/>
            <w:vAlign w:val="center"/>
          </w:tcPr>
          <w:p>
            <w:pPr>
              <w:spacing w:line="320" w:lineRule="exact"/>
            </w:pPr>
            <w:r>
              <w:rPr>
                <w:rFonts w:hint="eastAsia"/>
                <w:lang w:val="en-US" w:eastAsia="zh-CN"/>
              </w:rPr>
              <w:t>Q</w:t>
            </w:r>
            <w:r>
              <w:t>4.4</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J:3.3/</w:t>
            </w:r>
          </w:p>
          <w:p>
            <w:pPr>
              <w:pStyle w:val="2"/>
            </w:pPr>
            <w:r>
              <w:rPr>
                <w:rFonts w:hint="eastAsia" w:asciiTheme="minorEastAsia" w:hAnsiTheme="minorEastAsia" w:eastAsiaTheme="minorEastAsia" w:cstheme="minorEastAsia"/>
                <w:sz w:val="21"/>
                <w:szCs w:val="21"/>
              </w:rPr>
              <w:t>3.4</w:t>
            </w:r>
          </w:p>
        </w:tc>
        <w:tc>
          <w:tcPr>
            <w:tcW w:w="4083" w:type="pct"/>
            <w:noWrap w:val="0"/>
            <w:vAlign w:val="center"/>
          </w:tcPr>
          <w:p>
            <w:pPr>
              <w:spacing w:line="320" w:lineRule="exact"/>
              <w:rPr>
                <w:rFonts w:ascii="Times New Roman" w:hAnsi="Times New Roman"/>
              </w:rPr>
            </w:pPr>
            <w:r>
              <w:rPr>
                <w:rFonts w:ascii="Times New Roman" w:hAnsi="Times New Roman"/>
              </w:rPr>
              <w:t>为健全和完善本公司的管理体系，</w:t>
            </w:r>
            <w:r>
              <w:rPr>
                <w:rFonts w:ascii="Times New Roman" w:hAnsi="Times New Roman"/>
                <w:lang w:val="zh-CN"/>
              </w:rPr>
              <w:t>公司依据</w:t>
            </w:r>
            <w:r>
              <w:rPr>
                <w:rFonts w:ascii="Times New Roman" w:hAnsi="Times New Roman"/>
              </w:rPr>
              <w:t>GB/T</w:t>
            </w:r>
            <w:r>
              <w:rPr>
                <w:rFonts w:hint="eastAsia" w:ascii="Times New Roman" w:hAnsi="Times New Roman"/>
                <w:lang w:val="en-US" w:eastAsia="zh-CN"/>
              </w:rPr>
              <w:t xml:space="preserve"> </w:t>
            </w:r>
            <w:r>
              <w:rPr>
                <w:rFonts w:ascii="Times New Roman" w:hAnsi="Times New Roman"/>
              </w:rPr>
              <w:t>19001-2016</w:t>
            </w:r>
            <w:r>
              <w:rPr>
                <w:rFonts w:ascii="Times New Roman" w:hAnsi="Times New Roman"/>
                <w:lang w:val="zh-CN"/>
              </w:rPr>
              <w:t>《质量管理体系 要求》</w:t>
            </w:r>
            <w:r>
              <w:rPr>
                <w:rFonts w:hint="eastAsia" w:ascii="Times New Roman" w:hAnsi="Times New Roman"/>
                <w:lang w:val="de-DE" w:eastAsia="zh-CN"/>
              </w:rPr>
              <w:t>、</w:t>
            </w:r>
            <w:r>
              <w:rPr>
                <w:rFonts w:hint="eastAsia" w:ascii="Times New Roman" w:hAnsi="Times New Roman"/>
                <w:lang w:val="de-DE"/>
              </w:rPr>
              <w:t>GB/T</w:t>
            </w:r>
            <w:r>
              <w:rPr>
                <w:rFonts w:hint="eastAsia" w:ascii="Times New Roman" w:hAnsi="Times New Roman"/>
                <w:lang w:val="en-US" w:eastAsia="zh-CN"/>
              </w:rPr>
              <w:t xml:space="preserve"> </w:t>
            </w:r>
            <w:r>
              <w:rPr>
                <w:rFonts w:hint="eastAsia" w:ascii="Times New Roman" w:hAnsi="Times New Roman"/>
                <w:lang w:val="de-DE"/>
              </w:rPr>
              <w:t>50430-2017</w:t>
            </w:r>
            <w:r>
              <w:rPr>
                <w:rFonts w:hint="eastAsia" w:ascii="Times New Roman" w:hAnsi="Times New Roman"/>
                <w:lang w:val="de-DE" w:eastAsia="zh-CN"/>
              </w:rPr>
              <w:t>《</w:t>
            </w:r>
            <w:r>
              <w:rPr>
                <w:rFonts w:hint="eastAsia" w:ascii="Times New Roman" w:hAnsi="Times New Roman"/>
              </w:rPr>
              <w:t>工程建设施工企业质量管理规范</w:t>
            </w:r>
            <w:r>
              <w:rPr>
                <w:rFonts w:hint="eastAsia" w:ascii="Times New Roman" w:hAnsi="Times New Roman"/>
                <w:lang w:val="de-DE" w:eastAsia="zh-CN"/>
              </w:rPr>
              <w:t>》</w:t>
            </w:r>
            <w:r>
              <w:rPr>
                <w:rFonts w:ascii="Times New Roman" w:hAnsi="Times New Roman"/>
                <w:lang w:val="zh-CN"/>
              </w:rPr>
              <w:t>、</w:t>
            </w:r>
            <w:r>
              <w:rPr>
                <w:rFonts w:ascii="Times New Roman" w:hAnsi="Times New Roman"/>
              </w:rPr>
              <w:t>GB/T</w:t>
            </w:r>
            <w:r>
              <w:rPr>
                <w:rFonts w:hint="eastAsia" w:ascii="Times New Roman" w:hAnsi="Times New Roman"/>
                <w:lang w:val="en-US" w:eastAsia="zh-CN"/>
              </w:rPr>
              <w:t xml:space="preserve"> </w:t>
            </w:r>
            <w:r>
              <w:rPr>
                <w:rFonts w:ascii="Times New Roman" w:hAnsi="Times New Roman"/>
              </w:rPr>
              <w:t>24001-2016</w:t>
            </w:r>
            <w:r>
              <w:rPr>
                <w:rFonts w:ascii="Times New Roman" w:hAnsi="Times New Roman"/>
                <w:lang w:val="zh-CN"/>
              </w:rPr>
              <w:t>《</w:t>
            </w:r>
            <w:r>
              <w:rPr>
                <w:rFonts w:ascii="Times New Roman" w:hAnsi="Times New Roman"/>
              </w:rPr>
              <w:t xml:space="preserve">环境管理体系  </w:t>
            </w:r>
            <w:r>
              <w:rPr>
                <w:rFonts w:ascii="Times New Roman" w:hAnsi="Times New Roman"/>
                <w:lang w:val="zh-CN"/>
              </w:rPr>
              <w:t>要求及使用指南》、</w:t>
            </w:r>
            <w:r>
              <w:rPr>
                <w:rFonts w:hint="eastAsia" w:ascii="Times New Roman" w:hAnsi="Times New Roman"/>
                <w:lang w:val="de-DE"/>
              </w:rPr>
              <w:t>GB/T</w:t>
            </w:r>
            <w:r>
              <w:rPr>
                <w:rFonts w:hint="eastAsia" w:ascii="Times New Roman" w:hAnsi="Times New Roman"/>
                <w:lang w:val="en-US" w:eastAsia="zh-CN"/>
              </w:rPr>
              <w:t xml:space="preserve"> </w:t>
            </w:r>
            <w:r>
              <w:rPr>
                <w:rFonts w:hint="eastAsia" w:ascii="Times New Roman" w:hAnsi="Times New Roman"/>
                <w:lang w:val="de-DE"/>
              </w:rPr>
              <w:t xml:space="preserve">45001-2020 / </w:t>
            </w:r>
            <w:r>
              <w:rPr>
                <w:rFonts w:ascii="Times New Roman" w:hAnsi="Times New Roman"/>
              </w:rPr>
              <w:t>ISO</w:t>
            </w:r>
            <w:r>
              <w:rPr>
                <w:rFonts w:hint="eastAsia" w:ascii="Times New Roman" w:hAnsi="Times New Roman"/>
                <w:lang w:val="en-US" w:eastAsia="zh-CN"/>
              </w:rPr>
              <w:t xml:space="preserve"> </w:t>
            </w:r>
            <w:r>
              <w:rPr>
                <w:rFonts w:ascii="Times New Roman" w:hAnsi="Times New Roman"/>
              </w:rPr>
              <w:t>45001-2018《</w:t>
            </w:r>
            <w:r>
              <w:rPr>
                <w:rFonts w:ascii="Times New Roman" w:hAnsi="Times New Roman"/>
                <w:lang w:val="zh-CN"/>
              </w:rPr>
              <w:t>职业健康安全管理体系 要求及使用指南</w:t>
            </w:r>
            <w:r>
              <w:rPr>
                <w:rFonts w:ascii="Times New Roman" w:hAnsi="Times New Roman"/>
              </w:rPr>
              <w:t>》，结合公司实际情况于20</w:t>
            </w:r>
            <w:r>
              <w:rPr>
                <w:rFonts w:hint="eastAsia" w:ascii="Times New Roman" w:hAnsi="Times New Roman"/>
                <w:lang w:val="en-US" w:eastAsia="zh-CN"/>
              </w:rPr>
              <w:t>19</w:t>
            </w:r>
            <w:r>
              <w:rPr>
                <w:rFonts w:ascii="Times New Roman" w:hAnsi="Times New Roman"/>
              </w:rPr>
              <w:t>年</w:t>
            </w:r>
            <w:r>
              <w:rPr>
                <w:rFonts w:hint="eastAsia" w:ascii="Times New Roman" w:hAnsi="Times New Roman"/>
                <w:lang w:val="en-US" w:eastAsia="zh-CN"/>
              </w:rPr>
              <w:t>9</w:t>
            </w:r>
            <w:r>
              <w:rPr>
                <w:rFonts w:ascii="Times New Roman" w:hAnsi="Times New Roman"/>
              </w:rPr>
              <w:t>月1</w:t>
            </w:r>
            <w:r>
              <w:rPr>
                <w:rFonts w:hint="eastAsia" w:ascii="Times New Roman" w:hAnsi="Times New Roman"/>
                <w:lang w:val="en-US" w:eastAsia="zh-CN"/>
              </w:rPr>
              <w:t>5</w:t>
            </w:r>
            <w:r>
              <w:rPr>
                <w:rFonts w:ascii="Times New Roman" w:hAnsi="Times New Roman"/>
              </w:rPr>
              <w:t>日发布实施了管理体系文件，包括管理手册、程序文件、管理制度、作业文件、记录等。</w:t>
            </w:r>
          </w:p>
          <w:p>
            <w:pPr>
              <w:spacing w:line="320" w:lineRule="exact"/>
              <w:rPr>
                <w:rFonts w:ascii="Times New Roman" w:hAnsi="Times New Roman"/>
              </w:rPr>
            </w:pPr>
            <w:r>
              <w:rPr>
                <w:rFonts w:ascii="Times New Roman" w:hAnsi="Times New Roman"/>
              </w:rPr>
              <w:t>手册作为体系运行的纲领性文件，描述了体系的过程；过程之间的顺序、接口及其相互作用；确保这些过程的运行和有效控制所需的准则和方法（包括监视、测量和相关的绩效指标）；确定和提供过程运行所需的资源；规定与这些过程相关的职责和权限；应对风险和机遇；实施评价这些过程，确保实现这些过程的预期结果并不断改进过程和管理体系。</w:t>
            </w:r>
          </w:p>
        </w:tc>
        <w:tc>
          <w:tcPr>
            <w:tcW w:w="182"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384" w:type="pct"/>
            <w:noWrap w:val="0"/>
            <w:vAlign w:val="center"/>
          </w:tcPr>
          <w:p>
            <w:pPr>
              <w:spacing w:line="320" w:lineRule="exact"/>
              <w:rPr>
                <w:rFonts w:ascii="Times New Roman" w:hAnsi="Times New Roman"/>
              </w:rPr>
            </w:pPr>
            <w:r>
              <w:rPr>
                <w:rFonts w:ascii="Times New Roman" w:hAnsi="Times New Roman"/>
              </w:rPr>
              <w:t>管理承诺总则</w:t>
            </w:r>
          </w:p>
        </w:tc>
        <w:tc>
          <w:tcPr>
            <w:tcW w:w="350" w:type="pct"/>
            <w:noWrap w:val="0"/>
            <w:vAlign w:val="center"/>
          </w:tcPr>
          <w:p>
            <w:pPr>
              <w:spacing w:line="320" w:lineRule="exact"/>
            </w:pPr>
            <w:r>
              <w:rPr>
                <w:rFonts w:hint="eastAsia"/>
                <w:lang w:val="en-US" w:eastAsia="zh-CN"/>
              </w:rPr>
              <w:t>Q</w:t>
            </w:r>
            <w:r>
              <w:t>5.1</w:t>
            </w:r>
          </w:p>
          <w:p>
            <w:pPr>
              <w:pStyle w:val="2"/>
            </w:pPr>
            <w:r>
              <w:rPr>
                <w:rFonts w:hint="eastAsia" w:asciiTheme="minorEastAsia" w:hAnsiTheme="minorEastAsia" w:eastAsiaTheme="minorEastAsia" w:cstheme="minorEastAsia"/>
                <w:sz w:val="21"/>
                <w:szCs w:val="21"/>
              </w:rPr>
              <w:t>J4.3</w:t>
            </w:r>
          </w:p>
        </w:tc>
        <w:tc>
          <w:tcPr>
            <w:tcW w:w="4083" w:type="pct"/>
            <w:noWrap w:val="0"/>
            <w:vAlign w:val="center"/>
          </w:tcPr>
          <w:p>
            <w:pPr>
              <w:spacing w:line="320" w:lineRule="exact"/>
              <w:rPr>
                <w:rFonts w:ascii="Times New Roman" w:hAnsi="Times New Roman"/>
              </w:rPr>
            </w:pPr>
            <w:r>
              <w:rPr>
                <w:rFonts w:ascii="Times New Roman" w:hAnsi="Times New Roman"/>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tc>
        <w:tc>
          <w:tcPr>
            <w:tcW w:w="182"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84" w:type="pct"/>
            <w:noWrap w:val="0"/>
            <w:vAlign w:val="center"/>
          </w:tcPr>
          <w:p>
            <w:pPr>
              <w:spacing w:line="320" w:lineRule="exact"/>
              <w:rPr>
                <w:rFonts w:ascii="Times New Roman" w:hAnsi="Times New Roman"/>
              </w:rPr>
            </w:pPr>
            <w:r>
              <w:rPr>
                <w:rFonts w:ascii="Times New Roman" w:hAnsi="Times New Roman"/>
              </w:rPr>
              <w:t>管理方针</w:t>
            </w:r>
          </w:p>
        </w:tc>
        <w:tc>
          <w:tcPr>
            <w:tcW w:w="350" w:type="pct"/>
            <w:noWrap w:val="0"/>
            <w:vAlign w:val="center"/>
          </w:tcPr>
          <w:p>
            <w:pPr>
              <w:spacing w:line="320" w:lineRule="exact"/>
            </w:pPr>
            <w:r>
              <w:rPr>
                <w:rFonts w:hint="eastAsia"/>
                <w:lang w:val="en-US" w:eastAsia="zh-CN"/>
              </w:rPr>
              <w:t>Q</w:t>
            </w:r>
            <w:r>
              <w:t>5.2</w:t>
            </w:r>
          </w:p>
          <w:p>
            <w:pPr>
              <w:pStyle w:val="2"/>
            </w:pPr>
            <w:r>
              <w:rPr>
                <w:rFonts w:hint="eastAsia" w:ascii="Times New Roman" w:hAnsi="Times New Roman" w:cs="Times New Roman"/>
                <w:szCs w:val="22"/>
              </w:rPr>
              <w:t>J3.2</w:t>
            </w:r>
          </w:p>
        </w:tc>
        <w:tc>
          <w:tcPr>
            <w:tcW w:w="4083" w:type="pct"/>
            <w:noWrap w:val="0"/>
            <w:vAlign w:val="center"/>
          </w:tcPr>
          <w:p>
            <w:pPr>
              <w:numPr>
                <w:ilvl w:val="0"/>
                <w:numId w:val="1"/>
              </w:numPr>
              <w:rPr>
                <w:rFonts w:hint="eastAsia" w:ascii="Times New Roman" w:hAnsi="Times New Roman" w:eastAsia="宋体" w:cs="宋体"/>
                <w:szCs w:val="22"/>
                <w:highlight w:val="none"/>
                <w:lang w:eastAsia="zh-CN"/>
              </w:rPr>
            </w:pPr>
            <w:r>
              <w:rPr>
                <w:rFonts w:ascii="Times New Roman" w:hAnsi="Times New Roman"/>
              </w:rPr>
              <w:t>管理</w:t>
            </w:r>
            <w:r>
              <w:rPr>
                <w:rFonts w:ascii="Times New Roman" w:hAnsi="Times New Roman"/>
                <w:highlight w:val="none"/>
              </w:rPr>
              <w:t>方针：</w:t>
            </w:r>
            <w:r>
              <w:rPr>
                <w:rFonts w:hint="eastAsia" w:ascii="宋体" w:hAnsi="宋体"/>
                <w:b/>
                <w:bCs/>
                <w:color w:val="000000"/>
                <w:highlight w:val="none"/>
              </w:rPr>
              <w:t>安全第一、保障健康</w:t>
            </w:r>
            <w:r>
              <w:rPr>
                <w:rFonts w:hint="eastAsia" w:ascii="宋体" w:hAnsi="宋体"/>
                <w:b/>
                <w:bCs/>
                <w:color w:val="000000"/>
                <w:highlight w:val="none"/>
                <w:lang w:eastAsia="zh-CN"/>
              </w:rPr>
              <w:t>、</w:t>
            </w:r>
            <w:r>
              <w:rPr>
                <w:rFonts w:hint="eastAsia" w:ascii="宋体" w:hAnsi="宋体"/>
                <w:b/>
                <w:bCs/>
                <w:color w:val="000000"/>
                <w:highlight w:val="none"/>
              </w:rPr>
              <w:t>质量为本、规范施工</w:t>
            </w:r>
            <w:r>
              <w:rPr>
                <w:rFonts w:hint="eastAsia" w:ascii="宋体" w:hAnsi="宋体"/>
                <w:b/>
                <w:bCs/>
                <w:color w:val="000000"/>
                <w:highlight w:val="none"/>
                <w:lang w:eastAsia="zh-CN"/>
              </w:rPr>
              <w:t>，</w:t>
            </w:r>
            <w:r>
              <w:rPr>
                <w:rFonts w:hint="eastAsia" w:ascii="宋体" w:hAnsi="宋体"/>
                <w:b/>
                <w:bCs/>
                <w:color w:val="000000"/>
                <w:highlight w:val="none"/>
              </w:rPr>
              <w:t>减少污染、节能降耗</w:t>
            </w:r>
            <w:r>
              <w:rPr>
                <w:rFonts w:hint="eastAsia" w:ascii="宋体" w:hAnsi="宋体"/>
                <w:b/>
                <w:bCs/>
                <w:color w:val="000000"/>
                <w:highlight w:val="none"/>
                <w:lang w:eastAsia="zh-CN"/>
              </w:rPr>
              <w:t>、</w:t>
            </w:r>
            <w:r>
              <w:rPr>
                <w:rFonts w:hint="eastAsia" w:ascii="宋体" w:hAnsi="宋体"/>
                <w:b/>
                <w:bCs/>
                <w:color w:val="000000"/>
                <w:highlight w:val="none"/>
              </w:rPr>
              <w:t>遵纪守法、持续改进</w:t>
            </w:r>
            <w:r>
              <w:rPr>
                <w:rFonts w:hint="eastAsia" w:ascii="宋体" w:hAnsi="宋体"/>
                <w:b/>
                <w:bCs/>
                <w:color w:val="000000"/>
                <w:highlight w:val="none"/>
                <w:lang w:eastAsia="zh-CN"/>
              </w:rPr>
              <w:t>。</w:t>
            </w:r>
          </w:p>
          <w:p>
            <w:pPr>
              <w:spacing w:line="320" w:lineRule="exact"/>
              <w:rPr>
                <w:rFonts w:ascii="Times New Roman" w:hAnsi="Times New Roman"/>
              </w:rPr>
            </w:pPr>
            <w:r>
              <w:rPr>
                <w:rFonts w:ascii="Times New Roman" w:hAnsi="Times New Roman"/>
              </w:rPr>
              <w:t>2. 管理方针与企业的经营宗旨相适应，协调；</w:t>
            </w:r>
          </w:p>
          <w:p>
            <w:pPr>
              <w:spacing w:line="320" w:lineRule="exact"/>
              <w:rPr>
                <w:rFonts w:ascii="Times New Roman" w:hAnsi="Times New Roman"/>
              </w:rPr>
            </w:pPr>
            <w:r>
              <w:rPr>
                <w:rFonts w:ascii="Times New Roman" w:hAnsi="Times New Roman"/>
              </w:rPr>
              <w:t>3. 通过会议传达，沟通，让全体员工理解执行。并定期进行评审（一般一年一次）。</w:t>
            </w:r>
          </w:p>
        </w:tc>
        <w:tc>
          <w:tcPr>
            <w:tcW w:w="182"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384" w:type="pct"/>
            <w:noWrap w:val="0"/>
            <w:vAlign w:val="center"/>
          </w:tcPr>
          <w:p>
            <w:pPr>
              <w:spacing w:line="320" w:lineRule="exact"/>
              <w:rPr>
                <w:rFonts w:ascii="Times New Roman" w:hAnsi="Times New Roman"/>
              </w:rPr>
            </w:pPr>
            <w:r>
              <w:rPr>
                <w:rFonts w:ascii="Times New Roman" w:hAnsi="Times New Roman"/>
              </w:rPr>
              <w:t>组织的岗位、职责权限</w:t>
            </w:r>
          </w:p>
        </w:tc>
        <w:tc>
          <w:tcPr>
            <w:tcW w:w="350" w:type="pct"/>
            <w:noWrap w:val="0"/>
            <w:vAlign w:val="center"/>
          </w:tcPr>
          <w:p>
            <w:pPr>
              <w:spacing w:line="320" w:lineRule="exact"/>
            </w:pPr>
            <w:r>
              <w:rPr>
                <w:rFonts w:hint="eastAsia"/>
                <w:lang w:val="en-US" w:eastAsia="zh-CN"/>
              </w:rPr>
              <w:t>Q</w:t>
            </w:r>
            <w:r>
              <w:t>5.3</w:t>
            </w:r>
          </w:p>
          <w:p>
            <w:pPr>
              <w:pStyle w:val="2"/>
            </w:pPr>
            <w:r>
              <w:rPr>
                <w:rFonts w:hint="eastAsia" w:asciiTheme="minorEastAsia" w:hAnsiTheme="minorEastAsia" w:eastAsiaTheme="minorEastAsia" w:cstheme="minorEastAsia"/>
                <w:sz w:val="21"/>
                <w:szCs w:val="21"/>
              </w:rPr>
              <w:t>J4.2</w:t>
            </w:r>
          </w:p>
        </w:tc>
        <w:tc>
          <w:tcPr>
            <w:tcW w:w="4083" w:type="pct"/>
            <w:noWrap w:val="0"/>
            <w:vAlign w:val="center"/>
          </w:tcPr>
          <w:p>
            <w:pPr>
              <w:spacing w:line="320" w:lineRule="exact"/>
              <w:rPr>
                <w:rFonts w:ascii="Times New Roman" w:hAnsi="Times New Roman"/>
                <w:highlight w:val="none"/>
              </w:rPr>
            </w:pPr>
            <w:r>
              <w:rPr>
                <w:rFonts w:ascii="Times New Roman" w:hAnsi="Times New Roman"/>
              </w:rPr>
              <w:t>公司管理体系覆盖部门包括</w:t>
            </w:r>
            <w:r>
              <w:rPr>
                <w:rFonts w:ascii="Times New Roman" w:hAnsi="Times New Roman"/>
                <w:highlight w:val="none"/>
              </w:rPr>
              <w:t>：</w:t>
            </w:r>
            <w:r>
              <w:rPr>
                <w:rFonts w:hint="eastAsia" w:ascii="Times New Roman" w:hAnsi="Times New Roman"/>
                <w:highlight w:val="none"/>
                <w:lang w:eastAsia="zh-CN"/>
              </w:rPr>
              <w:t>经营部</w:t>
            </w:r>
            <w:r>
              <w:rPr>
                <w:rFonts w:ascii="Times New Roman" w:hAnsi="Times New Roman"/>
                <w:highlight w:val="none"/>
                <w:lang w:val="zh-CN"/>
              </w:rPr>
              <w:t>、</w:t>
            </w:r>
            <w:r>
              <w:rPr>
                <w:rFonts w:hint="eastAsia" w:ascii="Times New Roman" w:hAnsi="Times New Roman"/>
                <w:highlight w:val="none"/>
                <w:lang w:val="en-US" w:eastAsia="zh-CN"/>
              </w:rPr>
              <w:t>采购部、</w:t>
            </w:r>
            <w:r>
              <w:rPr>
                <w:rFonts w:hint="eastAsia" w:ascii="Times New Roman" w:hAnsi="Times New Roman"/>
                <w:highlight w:val="none"/>
                <w:lang w:val="zh-CN"/>
              </w:rPr>
              <w:t>工程部</w:t>
            </w:r>
            <w:r>
              <w:rPr>
                <w:rFonts w:ascii="Times New Roman" w:hAnsi="Times New Roman"/>
                <w:highlight w:val="none"/>
                <w:lang w:val="zh-CN"/>
              </w:rPr>
              <w:t>、</w:t>
            </w:r>
            <w:r>
              <w:rPr>
                <w:rFonts w:hint="eastAsia" w:ascii="Times New Roman" w:hAnsi="Times New Roman"/>
                <w:highlight w:val="none"/>
                <w:lang w:eastAsia="zh-CN"/>
              </w:rPr>
              <w:t>综合部</w:t>
            </w:r>
            <w:r>
              <w:rPr>
                <w:rFonts w:hint="eastAsia" w:ascii="Times New Roman" w:hAnsi="Times New Roman"/>
                <w:highlight w:val="none"/>
              </w:rPr>
              <w:t>、财务部</w:t>
            </w:r>
            <w:r>
              <w:rPr>
                <w:rFonts w:ascii="Times New Roman" w:hAnsi="Times New Roman"/>
                <w:highlight w:val="none"/>
              </w:rPr>
              <w:t>，项目部属于</w:t>
            </w:r>
            <w:r>
              <w:rPr>
                <w:rFonts w:hint="eastAsia" w:ascii="Times New Roman" w:hAnsi="Times New Roman"/>
                <w:highlight w:val="none"/>
                <w:lang w:eastAsia="zh-CN"/>
              </w:rPr>
              <w:t>工程部</w:t>
            </w:r>
            <w:r>
              <w:rPr>
                <w:rFonts w:ascii="Times New Roman" w:hAnsi="Times New Roman"/>
                <w:highlight w:val="none"/>
              </w:rPr>
              <w:t>管理；部门划分尚可。</w:t>
            </w:r>
          </w:p>
          <w:p>
            <w:pPr>
              <w:spacing w:line="320" w:lineRule="exact"/>
              <w:rPr>
                <w:rFonts w:ascii="Times New Roman" w:hAnsi="Times New Roman"/>
              </w:rPr>
            </w:pPr>
            <w:r>
              <w:rPr>
                <w:rFonts w:ascii="Times New Roman" w:hAnsi="Times New Roman"/>
                <w:highlight w:val="none"/>
              </w:rPr>
              <w:t>在《管理手册》及《岗位任职要求》中规定了各部门及主要岗位</w:t>
            </w:r>
            <w:r>
              <w:rPr>
                <w:rFonts w:ascii="Times New Roman" w:hAnsi="Times New Roman"/>
              </w:rPr>
              <w:t>人员的工作职责、作用、责任、权限，职责包括了标准要求的所有要求，充分适宜，上述文件通过发放的形成传达到相关部门和人员。包括各级管理者做出的相关责任的承诺等，基本明确了各级人员的环境职业健康安全管理职责等。确认公司目前人力资源、基础设施、技术人员、财力、信息资源均能保证。详见各部门相关条款审核记录。</w:t>
            </w:r>
          </w:p>
        </w:tc>
        <w:tc>
          <w:tcPr>
            <w:tcW w:w="182"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84" w:type="pct"/>
            <w:noWrap w:val="0"/>
            <w:vAlign w:val="top"/>
          </w:tcPr>
          <w:p>
            <w:pPr>
              <w:spacing w:line="360" w:lineRule="auto"/>
              <w:rPr>
                <w:rFonts w:ascii="Times New Roman" w:hAnsi="Times New Roman"/>
              </w:rPr>
            </w:pPr>
            <w:r>
              <w:rPr>
                <w:rFonts w:hint="eastAsia" w:asciiTheme="minorEastAsia" w:hAnsiTheme="minorEastAsia" w:eastAsiaTheme="minorEastAsia" w:cstheme="minorEastAsia"/>
                <w:sz w:val="21"/>
                <w:szCs w:val="21"/>
              </w:rPr>
              <w:t>应对风险和机遇的措施；</w:t>
            </w:r>
          </w:p>
        </w:tc>
        <w:tc>
          <w:tcPr>
            <w:tcW w:w="350" w:type="pct"/>
            <w:noWrap w:val="0"/>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Q6.1 </w:t>
            </w:r>
          </w:p>
          <w:p>
            <w:pPr>
              <w:spacing w:line="360" w:lineRule="auto"/>
              <w:rPr>
                <w:rFonts w:ascii="Times New Roman" w:hAnsi="Times New Roman"/>
              </w:rPr>
            </w:pPr>
            <w:r>
              <w:rPr>
                <w:rFonts w:hint="eastAsia" w:asciiTheme="minorEastAsia" w:hAnsiTheme="minorEastAsia" w:eastAsiaTheme="minorEastAsia" w:cstheme="minorEastAsia"/>
                <w:sz w:val="21"/>
                <w:szCs w:val="21"/>
              </w:rPr>
              <w:t>J3.</w:t>
            </w:r>
            <w:r>
              <w:rPr>
                <w:rFonts w:hint="eastAsia" w:asciiTheme="minorEastAsia" w:hAnsiTheme="minorEastAsia" w:eastAsiaTheme="minorEastAsia" w:cstheme="minorEastAsia"/>
                <w:sz w:val="21"/>
                <w:szCs w:val="21"/>
                <w:lang w:val="en-US" w:eastAsia="zh-CN"/>
              </w:rPr>
              <w:t>3</w:t>
            </w:r>
          </w:p>
        </w:tc>
        <w:tc>
          <w:tcPr>
            <w:tcW w:w="4083" w:type="pct"/>
            <w:noWrap w:val="0"/>
            <w:vAlign w:val="center"/>
          </w:tcPr>
          <w:p>
            <w:pPr>
              <w:spacing w:line="320" w:lineRule="exact"/>
              <w:rPr>
                <w:rFonts w:ascii="Times New Roman" w:hAnsi="Times New Roman"/>
              </w:rPr>
            </w:pPr>
            <w:r>
              <w:rPr>
                <w:rFonts w:ascii="Times New Roman" w:hAnsi="Times New Roman"/>
              </w:rPr>
              <w:t>查《风险管理控制程序》规定风险的识别、分析、评价和控制的过程和方法，以保证风险管理的有效性，从而确保质量管理体系能够实现其期望的结果；增强有利影响；避免或减少不利影响；实现改进。</w:t>
            </w:r>
          </w:p>
          <w:p>
            <w:pPr>
              <w:spacing w:line="320" w:lineRule="exact"/>
              <w:rPr>
                <w:rFonts w:ascii="Times New Roman" w:hAnsi="Times New Roman"/>
              </w:rPr>
            </w:pPr>
            <w:r>
              <w:rPr>
                <w:rFonts w:hint="eastAsia" w:ascii="Times New Roman" w:hAnsi="Times New Roman"/>
                <w:lang w:eastAsia="zh-CN"/>
              </w:rPr>
              <w:t>姚总</w:t>
            </w:r>
            <w:r>
              <w:rPr>
                <w:rFonts w:ascii="Times New Roman" w:hAnsi="Times New Roman"/>
              </w:rPr>
              <w:t>介绍：在策划管理体系时，领导层考虑了公司运行QEO（J）标准所处的环境，包括上述4.1识别的内外部环境。手册里有对风险和机遇应对控制的要求。</w:t>
            </w:r>
          </w:p>
          <w:p>
            <w:pPr>
              <w:spacing w:line="320" w:lineRule="exact"/>
              <w:rPr>
                <w:rFonts w:ascii="Times New Roman" w:hAnsi="Times New Roman"/>
                <w:highlight w:val="none"/>
              </w:rPr>
            </w:pPr>
            <w:r>
              <w:rPr>
                <w:rFonts w:ascii="Times New Roman" w:hAnsi="Times New Roman"/>
              </w:rPr>
              <w:t>公司面临的风险和机遇主要是：国内经济转型升级</w:t>
            </w:r>
            <w:r>
              <w:rPr>
                <w:rFonts w:hint="eastAsia" w:ascii="Times New Roman" w:hAnsi="Times New Roman"/>
                <w:lang w:eastAsia="zh-CN"/>
              </w:rPr>
              <w:t>、</w:t>
            </w:r>
            <w:r>
              <w:rPr>
                <w:rFonts w:hint="eastAsia" w:ascii="Times New Roman" w:hAnsi="Times New Roman"/>
                <w:lang w:val="en-US" w:eastAsia="zh-CN"/>
              </w:rPr>
              <w:t>疫情防控</w:t>
            </w:r>
            <w:r>
              <w:rPr>
                <w:rFonts w:ascii="Times New Roman" w:hAnsi="Times New Roman"/>
              </w:rPr>
              <w:t>和</w:t>
            </w:r>
            <w:r>
              <w:rPr>
                <w:rFonts w:hint="eastAsia" w:ascii="Times New Roman" w:hAnsi="Times New Roman"/>
                <w:lang w:val="en-US" w:eastAsia="zh-CN"/>
              </w:rPr>
              <w:t>国际经济、</w:t>
            </w:r>
            <w:r>
              <w:rPr>
                <w:rFonts w:ascii="Times New Roman" w:hAnsi="Times New Roman"/>
              </w:rPr>
              <w:t>政治因素导致的</w:t>
            </w:r>
            <w:r>
              <w:rPr>
                <w:rFonts w:hint="eastAsia" w:ascii="Times New Roman" w:hAnsi="Times New Roman"/>
                <w:lang w:val="en-US" w:eastAsia="zh-CN"/>
              </w:rPr>
              <w:t>需求缩减</w:t>
            </w:r>
            <w:r>
              <w:rPr>
                <w:rFonts w:hint="eastAsia" w:ascii="Times New Roman" w:hAnsi="Times New Roman"/>
                <w:lang w:eastAsia="zh-CN"/>
              </w:rPr>
              <w:t>、</w:t>
            </w:r>
            <w:r>
              <w:rPr>
                <w:rFonts w:ascii="Times New Roman" w:hAnsi="Times New Roman"/>
              </w:rPr>
              <w:t>原辅材料涨价</w:t>
            </w:r>
            <w:r>
              <w:rPr>
                <w:rFonts w:hint="eastAsia" w:ascii="Times New Roman" w:hAnsi="Times New Roman"/>
                <w:lang w:eastAsia="zh-CN"/>
              </w:rPr>
              <w:t>、</w:t>
            </w:r>
            <w:r>
              <w:rPr>
                <w:rFonts w:ascii="Times New Roman" w:hAnsi="Times New Roman"/>
              </w:rPr>
              <w:t>人工成本增加</w:t>
            </w:r>
            <w:r>
              <w:rPr>
                <w:rFonts w:hint="eastAsia" w:ascii="Times New Roman" w:hAnsi="Times New Roman"/>
                <w:lang w:eastAsia="zh-CN"/>
              </w:rPr>
              <w:t>、</w:t>
            </w:r>
            <w:r>
              <w:rPr>
                <w:rFonts w:ascii="Times New Roman" w:hAnsi="Times New Roman"/>
              </w:rPr>
              <w:t>客</w:t>
            </w:r>
            <w:r>
              <w:rPr>
                <w:rFonts w:ascii="Times New Roman" w:hAnsi="Times New Roman"/>
                <w:highlight w:val="none"/>
              </w:rPr>
              <w:t>户要求提高，以及行业良莠不齐、不良竞争、成本增</w:t>
            </w:r>
            <w:r>
              <w:rPr>
                <w:rFonts w:hint="eastAsia" w:ascii="Times New Roman" w:hAnsi="Times New Roman"/>
                <w:highlight w:val="none"/>
                <w:lang w:val="en-US" w:eastAsia="zh-CN"/>
              </w:rPr>
              <w:t>加、回款困难</w:t>
            </w:r>
            <w:r>
              <w:rPr>
                <w:rFonts w:ascii="Times New Roman" w:hAnsi="Times New Roman"/>
                <w:highlight w:val="none"/>
              </w:rPr>
              <w:t>等严重影响行业发展。</w:t>
            </w:r>
          </w:p>
          <w:p>
            <w:pPr>
              <w:rPr>
                <w:rFonts w:ascii="Times New Roman" w:hAnsi="Times New Roman"/>
                <w:highlight w:val="none"/>
              </w:rPr>
            </w:pPr>
            <w:r>
              <w:rPr>
                <w:rFonts w:ascii="Times New Roman" w:hAnsi="Times New Roman"/>
                <w:highlight w:val="none"/>
              </w:rPr>
              <w:t>公司进行危险源</w:t>
            </w:r>
            <w:r>
              <w:rPr>
                <w:rFonts w:hint="eastAsia" w:ascii="Times New Roman" w:hAnsi="Times New Roman"/>
                <w:highlight w:val="none"/>
                <w:lang w:val="en-US" w:eastAsia="zh-CN"/>
              </w:rPr>
              <w:t>和风险因素</w:t>
            </w:r>
            <w:r>
              <w:rPr>
                <w:rFonts w:ascii="Times New Roman" w:hAnsi="Times New Roman"/>
                <w:highlight w:val="none"/>
              </w:rPr>
              <w:t>的识别与评价，形成了职业健康安全危害辨识、风险评价调查表，并以此评价出了重大危险源；识别了紧急情况，如：高空坠落、机械伤害、</w:t>
            </w:r>
            <w:r>
              <w:rPr>
                <w:rFonts w:hint="eastAsia" w:ascii="Times New Roman" w:hAnsi="Times New Roman"/>
                <w:highlight w:val="none"/>
                <w:lang w:val="en-US" w:eastAsia="zh-CN"/>
              </w:rPr>
              <w:t>物体打击、</w:t>
            </w:r>
            <w:r>
              <w:rPr>
                <w:rFonts w:ascii="Times New Roman" w:hAnsi="Times New Roman"/>
                <w:highlight w:val="none"/>
              </w:rPr>
              <w:t>火灾、触电</w:t>
            </w:r>
            <w:r>
              <w:rPr>
                <w:rFonts w:hint="eastAsia" w:ascii="Times New Roman" w:hAnsi="Times New Roman"/>
                <w:highlight w:val="none"/>
                <w:lang w:eastAsia="zh-CN"/>
              </w:rPr>
              <w:t>、</w:t>
            </w:r>
            <w:r>
              <w:rPr>
                <w:rFonts w:hint="eastAsia" w:ascii="宋体" w:hAnsi="宋体" w:cs="宋体"/>
                <w:szCs w:val="21"/>
                <w:highlight w:val="none"/>
              </w:rPr>
              <w:t>职业病</w:t>
            </w:r>
            <w:r>
              <w:rPr>
                <w:rFonts w:hint="eastAsia" w:ascii="宋体" w:hAnsi="宋体" w:cs="宋体"/>
                <w:szCs w:val="21"/>
                <w:highlight w:val="none"/>
                <w:lang w:eastAsia="zh-CN"/>
              </w:rPr>
              <w:t>、</w:t>
            </w:r>
            <w:r>
              <w:rPr>
                <w:rFonts w:hint="eastAsia" w:ascii="宋体" w:hAnsi="宋体" w:cs="宋体"/>
                <w:szCs w:val="21"/>
                <w:highlight w:val="none"/>
              </w:rPr>
              <w:t>中暑</w:t>
            </w:r>
            <w:r>
              <w:rPr>
                <w:rFonts w:ascii="Times New Roman" w:hAnsi="Times New Roman"/>
                <w:highlight w:val="none"/>
              </w:rPr>
              <w:t>等，制定了相应的</w:t>
            </w:r>
            <w:r>
              <w:rPr>
                <w:rFonts w:hint="eastAsia" w:ascii="Times New Roman" w:hAnsi="Times New Roman"/>
                <w:highlight w:val="none"/>
                <w:lang w:val="en-US" w:eastAsia="zh-CN"/>
              </w:rPr>
              <w:t>管理方案，并针对各突发情况制定了</w:t>
            </w:r>
            <w:r>
              <w:rPr>
                <w:rFonts w:ascii="Times New Roman" w:hAnsi="Times New Roman"/>
                <w:highlight w:val="none"/>
              </w:rPr>
              <w:t>应急预案，进行了演练。考虑了合规义务和重大危险源，确保实现预期结果。制定了相应的措施，通过不同的职能部门管理，融入到各活动中。</w:t>
            </w:r>
          </w:p>
          <w:p>
            <w:pPr>
              <w:spacing w:line="320" w:lineRule="exact"/>
              <w:rPr>
                <w:rFonts w:ascii="Times New Roman" w:hAnsi="Times New Roman"/>
              </w:rPr>
            </w:pPr>
            <w:r>
              <w:rPr>
                <w:rFonts w:hint="eastAsia" w:ascii="Times New Roman" w:hAnsi="Times New Roman"/>
                <w:lang w:eastAsia="zh-CN"/>
              </w:rPr>
              <w:t>姚总</w:t>
            </w:r>
            <w:r>
              <w:rPr>
                <w:rFonts w:ascii="Times New Roman" w:hAnsi="Times New Roman"/>
              </w:rPr>
              <w:t>简单介绍了公司为了应对现阶段的风险和机遇所采取措施等，记录如下：今年年初突发的</w:t>
            </w:r>
            <w:r>
              <w:rPr>
                <w:rFonts w:hint="eastAsia" w:ascii="Times New Roman" w:hAnsi="Times New Roman"/>
                <w:lang w:val="en-US" w:eastAsia="zh-CN"/>
              </w:rPr>
              <w:t>新冠</w:t>
            </w:r>
            <w:r>
              <w:rPr>
                <w:rFonts w:ascii="Times New Roman" w:hAnsi="Times New Roman"/>
              </w:rPr>
              <w:t>肺炎疫情，针对疫情制定了相应的管理措施，并投入了有效的人员和资金，现在已开工的工地，制定有</w:t>
            </w:r>
            <w:r>
              <w:rPr>
                <w:rFonts w:hint="eastAsia" w:ascii="Times New Roman" w:hAnsi="Times New Roman"/>
                <w:lang w:eastAsia="zh-CN"/>
              </w:rPr>
              <w:t>“</w:t>
            </w:r>
            <w:r>
              <w:rPr>
                <w:rFonts w:ascii="Times New Roman" w:hAnsi="Times New Roman"/>
              </w:rPr>
              <w:t>疫情防控工作方案</w:t>
            </w:r>
            <w:r>
              <w:rPr>
                <w:rFonts w:hint="eastAsia" w:ascii="Times New Roman" w:hAnsi="Times New Roman"/>
                <w:lang w:eastAsia="zh-CN"/>
              </w:rPr>
              <w:t>”</w:t>
            </w:r>
            <w:r>
              <w:rPr>
                <w:rFonts w:ascii="Times New Roman" w:hAnsi="Times New Roman"/>
              </w:rPr>
              <w:t>对风险识别和采取的措施可应用在实际的体系运行中。</w:t>
            </w:r>
          </w:p>
        </w:tc>
        <w:tc>
          <w:tcPr>
            <w:tcW w:w="182"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384" w:type="pct"/>
            <w:noWrap w:val="0"/>
            <w:vAlign w:val="top"/>
          </w:tcPr>
          <w:p>
            <w:pPr>
              <w:spacing w:line="240" w:lineRule="auto"/>
              <w:rPr>
                <w:rFonts w:hint="eastAsia" w:asciiTheme="minorEastAsia" w:hAnsiTheme="minorEastAsia" w:eastAsiaTheme="minorEastAsia" w:cstheme="minorEastAsia"/>
                <w:color w:val="auto"/>
                <w:sz w:val="21"/>
                <w:szCs w:val="21"/>
              </w:rPr>
            </w:pPr>
          </w:p>
          <w:p>
            <w:pPr>
              <w:spacing w:line="240" w:lineRule="auto"/>
              <w:rPr>
                <w:rFonts w:ascii="Times New Roman" w:hAnsi="Times New Roman"/>
                <w:color w:val="auto"/>
              </w:rPr>
            </w:pPr>
            <w:r>
              <w:rPr>
                <w:rFonts w:hint="eastAsia" w:asciiTheme="minorEastAsia" w:hAnsiTheme="minorEastAsia" w:eastAsiaTheme="minorEastAsia" w:cstheme="minorEastAsia"/>
                <w:color w:val="auto"/>
                <w:sz w:val="21"/>
                <w:szCs w:val="21"/>
              </w:rPr>
              <w:t>目标及其实现的策划</w:t>
            </w:r>
          </w:p>
        </w:tc>
        <w:tc>
          <w:tcPr>
            <w:tcW w:w="350" w:type="pct"/>
            <w:noWrap w:val="0"/>
            <w:vAlign w:val="top"/>
          </w:tcPr>
          <w:p>
            <w:pPr>
              <w:spacing w:line="240" w:lineRule="auto"/>
              <w:rPr>
                <w:rFonts w:hint="eastAsia" w:asciiTheme="minorEastAsia" w:hAnsiTheme="minorEastAsia" w:eastAsiaTheme="minorEastAsia" w:cstheme="minorEastAsia"/>
                <w:color w:val="auto"/>
                <w:sz w:val="21"/>
                <w:szCs w:val="21"/>
              </w:rPr>
            </w:pP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r>
              <w:rPr>
                <w:rFonts w:hint="eastAsia" w:asciiTheme="minorEastAsia" w:hAnsiTheme="minorEastAsia" w:eastAsiaTheme="minorEastAsia" w:cstheme="minorEastAsia"/>
                <w:color w:val="auto"/>
                <w:sz w:val="21"/>
                <w:szCs w:val="21"/>
                <w:lang w:val="en-US" w:eastAsia="zh-CN"/>
              </w:rPr>
              <w:t>EO</w:t>
            </w:r>
            <w:r>
              <w:rPr>
                <w:rFonts w:hint="eastAsia" w:asciiTheme="minorEastAsia" w:hAnsiTheme="minorEastAsia" w:eastAsiaTheme="minorEastAsia" w:cstheme="minorEastAsia"/>
                <w:color w:val="auto"/>
                <w:sz w:val="21"/>
                <w:szCs w:val="21"/>
              </w:rPr>
              <w:t xml:space="preserve">6.2 </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J3.2</w:t>
            </w:r>
          </w:p>
          <w:p>
            <w:pPr>
              <w:spacing w:line="240" w:lineRule="auto"/>
              <w:rPr>
                <w:rFonts w:ascii="Times New Roman" w:hAnsi="Times New Roman"/>
                <w:color w:val="auto"/>
              </w:rPr>
            </w:pPr>
          </w:p>
        </w:tc>
        <w:tc>
          <w:tcPr>
            <w:tcW w:w="4083" w:type="pct"/>
            <w:noWrap w:val="0"/>
            <w:vAlign w:val="center"/>
          </w:tcPr>
          <w:p>
            <w:pPr>
              <w:spacing w:line="320" w:lineRule="exact"/>
              <w:rPr>
                <w:rFonts w:hint="eastAsia" w:ascii="Times New Roman" w:hAnsi="Times New Roman" w:cs="宋体"/>
                <w:color w:val="auto"/>
                <w:szCs w:val="22"/>
              </w:rPr>
            </w:pPr>
            <w:r>
              <w:rPr>
                <w:rFonts w:ascii="Times New Roman" w:hAnsi="Times New Roman"/>
                <w:color w:val="auto"/>
              </w:rPr>
              <w:sym w:font="Wingdings 2" w:char="F0A2"/>
            </w:r>
            <w:r>
              <w:rPr>
                <w:rFonts w:hint="eastAsia" w:ascii="Times New Roman" w:hAnsi="Times New Roman" w:cs="宋体"/>
                <w:color w:val="auto"/>
                <w:szCs w:val="22"/>
              </w:rPr>
              <w:t>公司职业健康安全目标：</w:t>
            </w:r>
          </w:p>
          <w:p>
            <w:pPr>
              <w:pStyle w:val="2"/>
              <w:rPr>
                <w:rFonts w:hint="eastAsia" w:ascii="Times New Roman" w:hAnsi="Times New Roman" w:cs="宋体"/>
                <w:color w:val="auto"/>
                <w:szCs w:val="22"/>
              </w:rPr>
            </w:pPr>
            <w:r>
              <w:rPr>
                <w:rFonts w:hint="eastAsia" w:ascii="Times New Roman" w:hAnsi="Times New Roman" w:cs="宋体"/>
                <w:color w:val="auto"/>
                <w:szCs w:val="22"/>
              </w:rPr>
              <w:t xml:space="preserve">  目标 指标 </w:t>
            </w:r>
          </w:p>
          <w:p>
            <w:pPr>
              <w:pStyle w:val="2"/>
              <w:rPr>
                <w:rFonts w:hint="eastAsia" w:ascii="Times New Roman" w:hAnsi="Times New Roman" w:cs="宋体"/>
                <w:color w:val="auto"/>
                <w:szCs w:val="22"/>
              </w:rPr>
            </w:pPr>
            <w:r>
              <w:rPr>
                <w:rFonts w:hint="eastAsia" w:ascii="Times New Roman" w:hAnsi="Times New Roman" w:cs="宋体"/>
                <w:color w:val="auto"/>
                <w:szCs w:val="22"/>
              </w:rPr>
              <w:t xml:space="preserve">质量 </w:t>
            </w:r>
          </w:p>
          <w:p>
            <w:pPr>
              <w:pStyle w:val="2"/>
              <w:rPr>
                <w:rFonts w:hint="eastAsia" w:ascii="Times New Roman" w:hAnsi="Times New Roman" w:cs="宋体"/>
                <w:color w:val="auto"/>
                <w:szCs w:val="22"/>
              </w:rPr>
            </w:pPr>
            <w:r>
              <w:rPr>
                <w:rFonts w:hint="eastAsia" w:ascii="Times New Roman" w:hAnsi="Times New Roman" w:cs="宋体"/>
                <w:color w:val="auto"/>
                <w:szCs w:val="22"/>
              </w:rPr>
              <w:t xml:space="preserve">工程一次交验合格率100% 100% </w:t>
            </w:r>
          </w:p>
          <w:p>
            <w:pPr>
              <w:pStyle w:val="2"/>
              <w:rPr>
                <w:rFonts w:hint="eastAsia" w:ascii="Times New Roman" w:hAnsi="Times New Roman" w:cs="宋体"/>
                <w:color w:val="auto"/>
                <w:szCs w:val="22"/>
              </w:rPr>
            </w:pPr>
            <w:r>
              <w:rPr>
                <w:rFonts w:hint="eastAsia" w:ascii="Times New Roman" w:hAnsi="Times New Roman" w:cs="宋体"/>
                <w:color w:val="auto"/>
                <w:szCs w:val="22"/>
              </w:rPr>
              <w:t xml:space="preserve">顾客满意率≥95% ≥95% </w:t>
            </w:r>
          </w:p>
          <w:p>
            <w:pPr>
              <w:pStyle w:val="2"/>
              <w:rPr>
                <w:rFonts w:hint="eastAsia" w:ascii="Times New Roman" w:hAnsi="Times New Roman" w:cs="宋体"/>
                <w:color w:val="auto"/>
                <w:szCs w:val="22"/>
              </w:rPr>
            </w:pPr>
            <w:r>
              <w:rPr>
                <w:rFonts w:hint="eastAsia" w:ascii="Times New Roman" w:hAnsi="Times New Roman" w:cs="宋体"/>
                <w:color w:val="auto"/>
                <w:szCs w:val="22"/>
              </w:rPr>
              <w:t xml:space="preserve">环境 </w:t>
            </w:r>
          </w:p>
          <w:p>
            <w:pPr>
              <w:pStyle w:val="2"/>
              <w:rPr>
                <w:rFonts w:hint="eastAsia" w:ascii="Times New Roman" w:hAnsi="Times New Roman" w:cs="宋体"/>
                <w:color w:val="auto"/>
                <w:szCs w:val="22"/>
              </w:rPr>
            </w:pPr>
            <w:r>
              <w:rPr>
                <w:rFonts w:hint="eastAsia" w:ascii="Times New Roman" w:hAnsi="Times New Roman" w:cs="宋体"/>
                <w:color w:val="auto"/>
                <w:szCs w:val="22"/>
              </w:rPr>
              <w:t xml:space="preserve">施工噪声:投诉率为0 实现全年无投诉 </w:t>
            </w:r>
          </w:p>
          <w:p>
            <w:pPr>
              <w:pStyle w:val="2"/>
              <w:rPr>
                <w:rFonts w:hint="eastAsia" w:ascii="Times New Roman" w:hAnsi="Times New Roman" w:cs="宋体"/>
                <w:color w:val="auto"/>
                <w:szCs w:val="22"/>
              </w:rPr>
            </w:pPr>
            <w:r>
              <w:rPr>
                <w:rFonts w:hint="eastAsia" w:ascii="Times New Roman" w:hAnsi="Times New Roman" w:cs="宋体"/>
                <w:color w:val="auto"/>
                <w:szCs w:val="22"/>
              </w:rPr>
              <w:t xml:space="preserve">固体废弃物分类处置率100% 100% </w:t>
            </w:r>
          </w:p>
          <w:p>
            <w:pPr>
              <w:pStyle w:val="2"/>
              <w:rPr>
                <w:rFonts w:hint="eastAsia" w:ascii="Times New Roman" w:hAnsi="Times New Roman" w:cs="宋体"/>
                <w:color w:val="auto"/>
                <w:szCs w:val="22"/>
              </w:rPr>
            </w:pPr>
            <w:r>
              <w:rPr>
                <w:rFonts w:hint="eastAsia" w:ascii="Times New Roman" w:hAnsi="Times New Roman" w:cs="宋体"/>
                <w:color w:val="auto"/>
                <w:szCs w:val="22"/>
              </w:rPr>
              <w:t xml:space="preserve">职业健康安全 </w:t>
            </w:r>
          </w:p>
          <w:p>
            <w:pPr>
              <w:pStyle w:val="2"/>
              <w:rPr>
                <w:rFonts w:hint="eastAsia" w:ascii="Times New Roman" w:hAnsi="Times New Roman" w:cs="宋体"/>
                <w:color w:val="auto"/>
                <w:szCs w:val="22"/>
              </w:rPr>
            </w:pPr>
            <w:r>
              <w:rPr>
                <w:rFonts w:hint="eastAsia" w:ascii="Times New Roman" w:hAnsi="Times New Roman" w:cs="宋体"/>
                <w:color w:val="auto"/>
                <w:szCs w:val="22"/>
              </w:rPr>
              <w:t xml:space="preserve">火灾、触电事故为零 0 </w:t>
            </w:r>
          </w:p>
          <w:p>
            <w:pPr>
              <w:pStyle w:val="2"/>
              <w:rPr>
                <w:rFonts w:hint="eastAsia" w:ascii="Times New Roman" w:hAnsi="Times New Roman" w:cs="宋体"/>
                <w:color w:val="auto"/>
                <w:szCs w:val="22"/>
              </w:rPr>
            </w:pPr>
            <w:r>
              <w:rPr>
                <w:rFonts w:hint="eastAsia" w:ascii="Times New Roman" w:hAnsi="Times New Roman" w:cs="宋体"/>
                <w:color w:val="auto"/>
                <w:szCs w:val="22"/>
              </w:rPr>
              <w:t xml:space="preserve">重伤率不超过0.6‰，轻伤人数单位工程控制在2‰以内 0 </w:t>
            </w:r>
          </w:p>
          <w:p>
            <w:pPr>
              <w:spacing w:line="320" w:lineRule="exact"/>
              <w:rPr>
                <w:rFonts w:ascii="Times New Roman" w:hAnsi="Times New Roman"/>
                <w:color w:val="auto"/>
              </w:rPr>
            </w:pPr>
            <w:r>
              <w:rPr>
                <w:rFonts w:ascii="Times New Roman" w:hAnsi="Times New Roman"/>
                <w:color w:val="auto"/>
              </w:rPr>
              <w:t>对目标进行了分解，建立了各部门的分目标，</w:t>
            </w:r>
            <w:r>
              <w:rPr>
                <w:rFonts w:hint="eastAsia"/>
                <w:color w:val="auto"/>
                <w:lang w:val="en-US" w:eastAsia="zh-CN"/>
              </w:rPr>
              <w:t>半年</w:t>
            </w:r>
            <w:r>
              <w:rPr>
                <w:rFonts w:ascii="Times New Roman" w:hAnsi="Times New Roman"/>
                <w:color w:val="auto"/>
              </w:rPr>
              <w:t>进行一次考核，</w:t>
            </w:r>
          </w:p>
          <w:p>
            <w:pPr>
              <w:spacing w:line="320" w:lineRule="exact"/>
              <w:rPr>
                <w:rFonts w:ascii="Times New Roman" w:hAnsi="Times New Roman"/>
                <w:color w:val="auto"/>
              </w:rPr>
            </w:pPr>
            <w:r>
              <w:rPr>
                <w:rFonts w:ascii="Times New Roman" w:hAnsi="Times New Roman"/>
                <w:color w:val="auto"/>
              </w:rPr>
              <w:sym w:font="Wingdings 2" w:char="F0A2"/>
            </w:r>
            <w:r>
              <w:rPr>
                <w:rFonts w:ascii="Times New Roman" w:hAnsi="Times New Roman"/>
                <w:color w:val="auto"/>
              </w:rPr>
              <w:t>查看2020年</w:t>
            </w:r>
            <w:r>
              <w:rPr>
                <w:rFonts w:hint="eastAsia"/>
                <w:color w:val="auto"/>
                <w:lang w:val="en-US" w:eastAsia="zh-CN"/>
              </w:rPr>
              <w:t>10月10日</w:t>
            </w:r>
            <w:r>
              <w:rPr>
                <w:rFonts w:ascii="Times New Roman" w:hAnsi="Times New Roman"/>
                <w:color w:val="auto"/>
              </w:rPr>
              <w:t>考</w:t>
            </w:r>
            <w:r>
              <w:rPr>
                <w:rFonts w:hint="eastAsia"/>
                <w:color w:val="auto"/>
              </w:rPr>
              <w:t>核结果，显示完成</w:t>
            </w:r>
            <w:r>
              <w:rPr>
                <w:rFonts w:ascii="Times New Roman" w:hAnsi="Times New Roman"/>
                <w:color w:val="auto"/>
              </w:rPr>
              <w:t>，见各部门考核情况。</w:t>
            </w:r>
          </w:p>
        </w:tc>
        <w:tc>
          <w:tcPr>
            <w:tcW w:w="182" w:type="pct"/>
            <w:noWrap w:val="0"/>
            <w:vAlign w:val="top"/>
          </w:tcPr>
          <w:p>
            <w:pPr>
              <w:spacing w:line="320" w:lineRule="exact"/>
              <w:rPr>
                <w:rFonts w:hint="default"/>
                <w:lang w:val="en-US" w:eastAsia="zh-CN"/>
              </w:rPr>
            </w:pPr>
            <w:r>
              <w:rPr>
                <w:rFonts w:hint="eastAsia"/>
                <w:lang w:val="en-US" w:eastAsia="zh-CN"/>
              </w:rPr>
              <w:t>OK</w:t>
            </w:r>
          </w:p>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384" w:type="pct"/>
            <w:noWrap w:val="0"/>
            <w:vAlign w:val="top"/>
          </w:tcPr>
          <w:p>
            <w:pPr>
              <w:adjustRightInd w:val="0"/>
              <w:snapToGrid w:val="0"/>
              <w:spacing w:line="240" w:lineRule="auto"/>
              <w:jc w:val="left"/>
              <w:rPr>
                <w:rFonts w:hint="eastAsia" w:asciiTheme="minorEastAsia" w:hAnsiTheme="minorEastAsia" w:eastAsiaTheme="minorEastAsia" w:cstheme="minorEastAsia"/>
                <w:sz w:val="21"/>
                <w:szCs w:val="21"/>
              </w:rPr>
            </w:pPr>
          </w:p>
          <w:p>
            <w:pPr>
              <w:adjustRightInd w:val="0"/>
              <w:snapToGrid w:val="0"/>
              <w:spacing w:line="240" w:lineRule="auto"/>
              <w:jc w:val="left"/>
              <w:rPr>
                <w:rFonts w:hint="eastAsia" w:asciiTheme="minorEastAsia" w:hAnsiTheme="minorEastAsia" w:eastAsiaTheme="minorEastAsia" w:cstheme="minorEastAsia"/>
                <w:sz w:val="21"/>
                <w:szCs w:val="21"/>
              </w:rPr>
            </w:pPr>
          </w:p>
          <w:p>
            <w:pPr>
              <w:adjustRightInd w:val="0"/>
              <w:snapToGrid w:val="0"/>
              <w:spacing w:line="240" w:lineRule="auto"/>
              <w:jc w:val="left"/>
              <w:rPr>
                <w:rFonts w:ascii="Times New Roman" w:hAnsi="Times New Roman"/>
              </w:rPr>
            </w:pPr>
            <w:r>
              <w:rPr>
                <w:rFonts w:hint="eastAsia" w:asciiTheme="minorEastAsia" w:hAnsiTheme="minorEastAsia" w:eastAsiaTheme="minorEastAsia" w:cstheme="minorEastAsia"/>
                <w:sz w:val="21"/>
                <w:szCs w:val="21"/>
              </w:rPr>
              <w:t>变更的策划</w:t>
            </w:r>
          </w:p>
        </w:tc>
        <w:tc>
          <w:tcPr>
            <w:tcW w:w="350" w:type="pct"/>
            <w:noWrap w:val="0"/>
            <w:vAlign w:val="top"/>
          </w:tcPr>
          <w:p>
            <w:pPr>
              <w:spacing w:line="240" w:lineRule="auto"/>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Q6.3 </w:t>
            </w:r>
          </w:p>
          <w:p>
            <w:pPr>
              <w:spacing w:line="240" w:lineRule="auto"/>
              <w:rPr>
                <w:rFonts w:ascii="Times New Roman" w:hAnsi="Times New Roman"/>
              </w:rPr>
            </w:pPr>
            <w:r>
              <w:rPr>
                <w:rFonts w:hint="eastAsia" w:asciiTheme="minorEastAsia" w:hAnsiTheme="minorEastAsia" w:eastAsiaTheme="minorEastAsia" w:cstheme="minorEastAsia"/>
                <w:sz w:val="21"/>
                <w:szCs w:val="21"/>
              </w:rPr>
              <w:t>J3.4</w:t>
            </w:r>
          </w:p>
        </w:tc>
        <w:tc>
          <w:tcPr>
            <w:tcW w:w="4083" w:type="pct"/>
            <w:noWrap w:val="0"/>
            <w:vAlign w:val="center"/>
          </w:tcPr>
          <w:p>
            <w:pPr>
              <w:spacing w:line="360" w:lineRule="auto"/>
              <w:rPr>
                <w:rFonts w:ascii="宋体" w:hAnsi="宋体" w:cs="宋体"/>
                <w:szCs w:val="21"/>
              </w:rPr>
            </w:pPr>
            <w:r>
              <w:rPr>
                <w:rFonts w:hint="eastAsia" w:ascii="宋体" w:hAnsi="宋体" w:cs="宋体"/>
                <w:szCs w:val="21"/>
              </w:rPr>
              <w:t>公司确定需要对管理体系进行变更时，应经策划并系统的实施。公司应考虑：</w:t>
            </w:r>
          </w:p>
          <w:p>
            <w:pPr>
              <w:spacing w:line="360" w:lineRule="auto"/>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360" w:lineRule="auto"/>
              <w:rPr>
                <w:rFonts w:ascii="Times New Roman" w:hAnsi="Times New Roman"/>
              </w:rPr>
            </w:pPr>
            <w:r>
              <w:rPr>
                <w:rFonts w:hint="eastAsia" w:ascii="宋体" w:hAnsi="宋体" w:cs="宋体"/>
                <w:szCs w:val="21"/>
              </w:rPr>
              <w:t>公司目前对管理体系暂无变更。</w:t>
            </w:r>
          </w:p>
        </w:tc>
        <w:tc>
          <w:tcPr>
            <w:tcW w:w="182" w:type="pct"/>
            <w:noWrap w:val="0"/>
            <w:vAlign w:val="top"/>
          </w:tcPr>
          <w:p>
            <w:pPr>
              <w:spacing w:line="320" w:lineRule="exact"/>
              <w:rPr>
                <w:rFonts w:hint="default"/>
                <w:lang w:val="en-US" w:eastAsia="zh-CN"/>
              </w:rPr>
            </w:pPr>
            <w:r>
              <w:rPr>
                <w:rFonts w:hint="eastAsia"/>
                <w:lang w:val="en-US" w:eastAsia="zh-CN"/>
              </w:rPr>
              <w:t>OK</w:t>
            </w:r>
          </w:p>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384" w:type="pct"/>
            <w:noWrap w:val="0"/>
            <w:vAlign w:val="top"/>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w:t>
            </w:r>
          </w:p>
        </w:tc>
        <w:tc>
          <w:tcPr>
            <w:tcW w:w="350" w:type="pct"/>
            <w:noWrap w:val="0"/>
            <w:vAlign w:val="top"/>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Q7.1.2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J5.2</w:t>
            </w:r>
          </w:p>
        </w:tc>
        <w:tc>
          <w:tcPr>
            <w:tcW w:w="4083" w:type="pct"/>
            <w:noWrap w:val="0"/>
            <w:vAlign w:val="top"/>
          </w:tcPr>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查见：公司编制员工岗位能力规定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tabs>
                <w:tab w:val="center" w:pos="3169"/>
              </w:tabs>
              <w:spacing w:line="240" w:lineRule="auto"/>
              <w:jc w:val="left"/>
              <w:rPr>
                <w:rFonts w:ascii="Times New Roman" w:hAnsi="Times New Roman"/>
              </w:rPr>
            </w:pPr>
            <w:r>
              <w:rPr>
                <w:rFonts w:hint="eastAsia" w:asciiTheme="minorEastAsia" w:hAnsiTheme="minorEastAsia" w:eastAsiaTheme="minorEastAsia" w:cstheme="minorEastAsia"/>
                <w:sz w:val="21"/>
                <w:szCs w:val="21"/>
                <w:lang w:val="en-US" w:eastAsia="zh-CN"/>
              </w:rPr>
              <w:t>查</w:t>
            </w:r>
            <w:r>
              <w:rPr>
                <w:rFonts w:hint="eastAsia" w:asciiTheme="minorEastAsia" w:hAnsiTheme="minorEastAsia" w:eastAsiaTheme="minorEastAsia" w:cstheme="minorEastAsia"/>
                <w:sz w:val="21"/>
                <w:szCs w:val="21"/>
              </w:rPr>
              <w:t>各副总经理学历和企业管理实际工作经验；员工岗位能力规定熟知产品的执行标准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规范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流程并有能力组织实施产品和相关服务活动全过程的程序和质量控制点；对公司在用的设备性能、原理、维修与保养项目及间隔时间明确并有组织实施的能力；能有效地协调各部门之间的工作，确保公司的各项工作有序并有效运转。</w:t>
            </w:r>
          </w:p>
        </w:tc>
        <w:tc>
          <w:tcPr>
            <w:tcW w:w="182" w:type="pct"/>
            <w:noWrap w:val="0"/>
            <w:vAlign w:val="top"/>
          </w:tcPr>
          <w:p>
            <w:pPr>
              <w:spacing w:line="320" w:lineRule="exact"/>
              <w:rPr>
                <w:rFonts w:hint="default"/>
                <w:lang w:val="en-US" w:eastAsia="zh-CN"/>
              </w:rPr>
            </w:pPr>
            <w:r>
              <w:rPr>
                <w:rFonts w:hint="eastAsia"/>
                <w:lang w:val="en-US" w:eastAsia="zh-CN"/>
              </w:rPr>
              <w:t>OK</w:t>
            </w:r>
          </w:p>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384" w:type="pct"/>
            <w:noWrap w:val="0"/>
            <w:vAlign w:val="top"/>
          </w:tcPr>
          <w:p>
            <w:pPr>
              <w:adjustRightInd w:val="0"/>
              <w:snapToGrid w:val="0"/>
              <w:spacing w:line="360" w:lineRule="auto"/>
              <w:jc w:val="left"/>
              <w:rPr>
                <w:rFonts w:hint="eastAsia" w:asciiTheme="minorEastAsia" w:hAnsiTheme="minorEastAsia" w:eastAsiaTheme="minorEastAsia" w:cstheme="minorEastAsia"/>
                <w:sz w:val="21"/>
                <w:szCs w:val="21"/>
              </w:rPr>
            </w:pPr>
          </w:p>
          <w:p>
            <w:pPr>
              <w:adjustRightInd w:val="0"/>
              <w:snapToGrid w:val="0"/>
              <w:spacing w:line="360" w:lineRule="auto"/>
              <w:jc w:val="left"/>
              <w:rPr>
                <w:rFonts w:ascii="Times New Roman" w:hAnsi="Times New Roman"/>
              </w:rPr>
            </w:pPr>
            <w:r>
              <w:rPr>
                <w:rFonts w:hint="eastAsia" w:asciiTheme="minorEastAsia" w:hAnsiTheme="minorEastAsia" w:eastAsiaTheme="minorEastAsia" w:cstheme="minorEastAsia"/>
                <w:sz w:val="21"/>
                <w:szCs w:val="21"/>
              </w:rPr>
              <w:t>资源</w:t>
            </w:r>
          </w:p>
        </w:tc>
        <w:tc>
          <w:tcPr>
            <w:tcW w:w="350" w:type="pct"/>
            <w:noWrap w:val="0"/>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Q7.1.1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EO7.1</w:t>
            </w:r>
          </w:p>
          <w:p>
            <w:pPr>
              <w:spacing w:line="360" w:lineRule="auto"/>
              <w:rPr>
                <w:rFonts w:ascii="Times New Roman" w:hAnsi="Times New Roman"/>
              </w:rPr>
            </w:pPr>
            <w:r>
              <w:rPr>
                <w:rFonts w:hint="eastAsia" w:asciiTheme="minorEastAsia" w:hAnsiTheme="minorEastAsia" w:eastAsiaTheme="minorEastAsia" w:cstheme="minorEastAsia"/>
                <w:sz w:val="21"/>
                <w:szCs w:val="21"/>
              </w:rPr>
              <w:t>J5.1</w:t>
            </w:r>
          </w:p>
        </w:tc>
        <w:tc>
          <w:tcPr>
            <w:tcW w:w="4083" w:type="pct"/>
            <w:noWrap w:val="0"/>
            <w:vAlign w:val="center"/>
          </w:tcPr>
          <w:p>
            <w:pPr>
              <w:spacing w:line="320" w:lineRule="exact"/>
              <w:rPr>
                <w:rFonts w:ascii="Times New Roman" w:hAnsi="Times New Roman"/>
              </w:rPr>
            </w:pPr>
            <w:r>
              <w:rPr>
                <w:rFonts w:ascii="Times New Roman" w:hAnsi="Times New Roman"/>
              </w:rPr>
              <w:sym w:font="Wingdings 2" w:char="F0A2"/>
            </w:r>
            <w:r>
              <w:rPr>
                <w:rFonts w:ascii="Times New Roman" w:hAnsi="Times New Roman"/>
              </w:rPr>
              <w:t>组织为建立、实施、保持和持续改进管理体系，结合自有资源及可能从外部供方得到的资源支持，提供了以下资源：</w:t>
            </w:r>
          </w:p>
          <w:p>
            <w:pPr>
              <w:spacing w:line="320" w:lineRule="exact"/>
              <w:rPr>
                <w:rFonts w:hint="eastAsia" w:ascii="Times New Roman" w:hAnsi="Times New Roman"/>
              </w:rPr>
            </w:pPr>
            <w:r>
              <w:rPr>
                <w:rFonts w:hint="eastAsia" w:ascii="Times New Roman" w:hAnsi="Times New Roman"/>
              </w:rPr>
              <w:t>1）资金提供：注册资金</w:t>
            </w:r>
            <w:r>
              <w:rPr>
                <w:rFonts w:hint="eastAsia" w:ascii="Times New Roman" w:hAnsi="Times New Roman"/>
                <w:lang w:val="en-US" w:eastAsia="zh-CN"/>
              </w:rPr>
              <w:t>1088</w:t>
            </w:r>
            <w:r>
              <w:rPr>
                <w:rFonts w:hint="eastAsia" w:ascii="Times New Roman" w:hAnsi="Times New Roman"/>
              </w:rPr>
              <w:t>万元；</w:t>
            </w:r>
          </w:p>
          <w:p>
            <w:pPr>
              <w:spacing w:line="320" w:lineRule="exact"/>
              <w:rPr>
                <w:rFonts w:hint="eastAsia" w:ascii="Times New Roman" w:hAnsi="Times New Roman"/>
                <w:lang w:eastAsia="zh-CN"/>
              </w:rPr>
            </w:pPr>
            <w:r>
              <w:rPr>
                <w:rFonts w:hint="eastAsia" w:ascii="Times New Roman" w:hAnsi="Times New Roman"/>
              </w:rPr>
              <w:t>2）人力资源：企业目前涉及认证范围内的员工</w:t>
            </w:r>
            <w:r>
              <w:rPr>
                <w:rFonts w:hint="eastAsia" w:ascii="Times New Roman" w:hAnsi="Times New Roman"/>
                <w:lang w:val="en-US" w:eastAsia="zh-CN"/>
              </w:rPr>
              <w:t>132</w:t>
            </w:r>
            <w:r>
              <w:rPr>
                <w:rFonts w:hint="eastAsia" w:ascii="Times New Roman" w:hAnsi="Times New Roman"/>
              </w:rPr>
              <w:t>人，配备有建造师、施工员、资料员、质量员、安全员以及各类技工等专业人员配备充足</w:t>
            </w:r>
            <w:r>
              <w:rPr>
                <w:rFonts w:hint="eastAsia" w:ascii="Times New Roman" w:hAnsi="Times New Roman"/>
                <w:lang w:eastAsia="zh-CN"/>
              </w:rPr>
              <w:t>；</w:t>
            </w:r>
          </w:p>
          <w:p>
            <w:pPr>
              <w:spacing w:line="320" w:lineRule="exact"/>
              <w:rPr>
                <w:rFonts w:hint="eastAsia" w:ascii="Times New Roman" w:hAnsi="Times New Roman"/>
              </w:rPr>
            </w:pPr>
            <w:r>
              <w:rPr>
                <w:rFonts w:hint="eastAsia" w:ascii="Times New Roman" w:hAnsi="Times New Roman"/>
              </w:rPr>
              <w:t>3）建筑物及相关设</w:t>
            </w:r>
            <w:r>
              <w:rPr>
                <w:rFonts w:hint="eastAsia" w:ascii="Times New Roman" w:hAnsi="Times New Roman"/>
                <w:highlight w:val="none"/>
              </w:rPr>
              <w:t>施：公司租用办公</w:t>
            </w:r>
            <w:r>
              <w:rPr>
                <w:rFonts w:hint="eastAsia" w:ascii="Times New Roman" w:hAnsi="Times New Roman"/>
                <w:highlight w:val="none"/>
                <w:lang w:val="en-US" w:eastAsia="zh-CN"/>
              </w:rPr>
              <w:t>场所，面积</w:t>
            </w:r>
            <w:r>
              <w:rPr>
                <w:rFonts w:hint="eastAsia" w:ascii="Times New Roman" w:hAnsi="Times New Roman"/>
                <w:highlight w:val="none"/>
              </w:rPr>
              <w:t>约</w:t>
            </w:r>
            <w:r>
              <w:rPr>
                <w:rFonts w:hint="eastAsia" w:ascii="Times New Roman" w:hAnsi="Times New Roman"/>
                <w:highlight w:val="none"/>
                <w:lang w:val="en-US" w:eastAsia="zh-CN"/>
              </w:rPr>
              <w:t>45</w:t>
            </w:r>
            <w:r>
              <w:rPr>
                <w:rFonts w:hint="eastAsia" w:ascii="Times New Roman" w:hAnsi="Times New Roman"/>
                <w:highlight w:val="none"/>
              </w:rPr>
              <w:t>0平方米，区域划分</w:t>
            </w:r>
            <w:r>
              <w:rPr>
                <w:rFonts w:hint="eastAsia" w:ascii="Times New Roman" w:hAnsi="Times New Roman"/>
              </w:rPr>
              <w:t>明确，各部门独立办公，能够满足公司办公/经营需求。</w:t>
            </w:r>
          </w:p>
          <w:p>
            <w:pPr>
              <w:spacing w:line="320" w:lineRule="exact"/>
              <w:rPr>
                <w:rFonts w:hint="eastAsia" w:ascii="Times New Roman" w:hAnsi="Times New Roman"/>
                <w:lang w:eastAsia="zh-CN"/>
              </w:rPr>
            </w:pPr>
            <w:r>
              <w:rPr>
                <w:rFonts w:hint="eastAsia" w:ascii="Times New Roman" w:hAnsi="Times New Roman"/>
              </w:rPr>
              <w:t>4）生产设施：公司为施工现场配备主要有</w:t>
            </w:r>
            <w:r>
              <w:rPr>
                <w:rFonts w:ascii="Times New Roman" w:hAnsi="Times New Roman"/>
              </w:rPr>
              <w:t>：</w:t>
            </w:r>
            <w:r>
              <w:rPr>
                <w:rFonts w:hint="eastAsia" w:ascii="宋体" w:hAnsi="宋体" w:eastAsia="宋体" w:cs="宋体"/>
                <w:b w:val="0"/>
                <w:bCs w:val="0"/>
                <w:sz w:val="21"/>
                <w:szCs w:val="21"/>
                <w:lang w:val="en-US" w:eastAsia="zh-CN"/>
              </w:rPr>
              <w:t>砼拌和机、交流电焊机</w:t>
            </w:r>
            <w:r>
              <w:rPr>
                <w:rFonts w:hint="eastAsia" w:ascii="Times New Roman" w:hAnsi="Times New Roman"/>
                <w:lang w:val="en-US" w:eastAsia="zh-CN"/>
              </w:rPr>
              <w:t>、打夯机、插入式振动机、平板振动机、钢筋切割机、破碎机、卷扬机、氧焊设备、手推车、自卸卡车、灰浆搅拌机、全站仪、经纬仪、水准仪、木工圆锯机、皮尺</w:t>
            </w:r>
            <w:r>
              <w:rPr>
                <w:rFonts w:hint="eastAsia" w:ascii="Times New Roman" w:hAnsi="Times New Roman"/>
              </w:rPr>
              <w:t>、卷尺、安全帽等，能够满足施工现场需求</w:t>
            </w:r>
            <w:r>
              <w:rPr>
                <w:rFonts w:hint="eastAsia" w:ascii="Times New Roman" w:hAnsi="Times New Roman"/>
                <w:lang w:eastAsia="zh-CN"/>
              </w:rPr>
              <w:t>。</w:t>
            </w:r>
          </w:p>
          <w:p>
            <w:pPr>
              <w:spacing w:line="320" w:lineRule="exact"/>
              <w:rPr>
                <w:rFonts w:hint="eastAsia" w:ascii="Times New Roman" w:hAnsi="Times New Roman"/>
              </w:rPr>
            </w:pPr>
            <w:r>
              <w:rPr>
                <w:rFonts w:hint="eastAsia" w:ascii="Times New Roman" w:hAnsi="Times New Roman"/>
              </w:rPr>
              <w:t>5）过程运行环境：各部门办公区域均设置了空调，各部门办公区域干净整洁、通风照明状况良好、温度适宜；施工现场严格按照安全文明施工要求对施工环境进行控制；</w:t>
            </w:r>
          </w:p>
          <w:p>
            <w:pPr>
              <w:spacing w:line="320" w:lineRule="exact"/>
              <w:rPr>
                <w:rFonts w:hint="eastAsia" w:ascii="Times New Roman" w:hAnsi="Times New Roman" w:eastAsia="宋体"/>
                <w:lang w:eastAsia="zh-CN"/>
              </w:rPr>
            </w:pPr>
            <w:r>
              <w:rPr>
                <w:rFonts w:hint="eastAsia" w:ascii="Times New Roman" w:hAnsi="Times New Roman"/>
              </w:rPr>
              <w:t>6）配备有能满足现场施工需求的计量器具</w:t>
            </w:r>
            <w:r>
              <w:rPr>
                <w:rFonts w:hint="eastAsia" w:ascii="Times New Roman" w:hAnsi="Times New Roman"/>
                <w:lang w:eastAsia="zh-CN"/>
              </w:rPr>
              <w:t>：</w:t>
            </w:r>
            <w:r>
              <w:rPr>
                <w:rFonts w:hint="eastAsia" w:ascii="Times New Roman" w:hAnsi="Times New Roman"/>
              </w:rPr>
              <w:t>万用表、钢卷尺等</w:t>
            </w:r>
            <w:r>
              <w:rPr>
                <w:rFonts w:hint="eastAsia" w:ascii="Times New Roman" w:hAnsi="Times New Roman"/>
                <w:lang w:eastAsia="zh-CN"/>
              </w:rPr>
              <w:t>。</w:t>
            </w:r>
          </w:p>
          <w:p>
            <w:pPr>
              <w:spacing w:line="320" w:lineRule="exact"/>
              <w:rPr>
                <w:rFonts w:hint="eastAsia" w:ascii="Times New Roman" w:hAnsi="Times New Roman"/>
              </w:rPr>
            </w:pPr>
            <w:r>
              <w:rPr>
                <w:rFonts w:hint="eastAsia" w:ascii="Times New Roman" w:hAnsi="Times New Roman"/>
              </w:rPr>
              <w:t xml:space="preserve">7）文件资源：组织建立了确保管理体系有效运行所需的形成文件的信息。 </w:t>
            </w:r>
          </w:p>
          <w:p>
            <w:pPr>
              <w:spacing w:line="320" w:lineRule="exact"/>
              <w:rPr>
                <w:rFonts w:ascii="Times New Roman" w:hAnsi="Times New Roman"/>
              </w:rPr>
            </w:pPr>
            <w:r>
              <w:rPr>
                <w:rFonts w:hint="eastAsia" w:ascii="Times New Roman" w:hAnsi="Times New Roman"/>
              </w:rPr>
              <w:t>企业投入体系管理的人员、技术、资金、基础设施等资源基本能够满足管理体系运行需要，满足建筑</w:t>
            </w:r>
            <w:r>
              <w:rPr>
                <w:rFonts w:hint="eastAsia" w:ascii="Times New Roman" w:hAnsi="Times New Roman"/>
                <w:lang w:val="en-US" w:eastAsia="zh-CN"/>
              </w:rPr>
              <w:t>工程、市政工程、水利水电</w:t>
            </w:r>
            <w:r>
              <w:rPr>
                <w:rFonts w:hint="eastAsia" w:ascii="Times New Roman" w:hAnsi="Times New Roman"/>
              </w:rPr>
              <w:t>工程的施工</w:t>
            </w:r>
            <w:r>
              <w:rPr>
                <w:rFonts w:hint="eastAsia" w:ascii="Times New Roman" w:hAnsi="Times New Roman"/>
                <w:lang w:val="en-US" w:eastAsia="zh-CN"/>
              </w:rPr>
              <w:t>总</w:t>
            </w:r>
            <w:r>
              <w:rPr>
                <w:rFonts w:hint="eastAsia" w:ascii="Times New Roman" w:hAnsi="Times New Roman"/>
              </w:rPr>
              <w:t>承包的需要。</w:t>
            </w:r>
          </w:p>
          <w:p>
            <w:pPr>
              <w:spacing w:line="320" w:lineRule="exact"/>
              <w:rPr>
                <w:rFonts w:hint="eastAsia" w:ascii="Times New Roman" w:hAnsi="Times New Roman"/>
              </w:rPr>
            </w:pPr>
            <w:r>
              <w:rPr>
                <w:rFonts w:ascii="Times New Roman" w:hAnsi="Times New Roman"/>
              </w:rPr>
              <w:sym w:font="Wingdings 2" w:char="F0A2"/>
            </w:r>
            <w:r>
              <w:rPr>
                <w:rFonts w:ascii="Times New Roman" w:hAnsi="Times New Roman"/>
              </w:rPr>
              <w:t>企业投入体系管理的人员、技术、资金、基础设施等资源基本能够满足管理体系运行需要</w:t>
            </w:r>
            <w:r>
              <w:rPr>
                <w:rFonts w:hint="eastAsia" w:ascii="Times New Roman" w:hAnsi="Times New Roman"/>
                <w:lang w:eastAsia="zh-CN"/>
              </w:rPr>
              <w:t>。</w:t>
            </w:r>
          </w:p>
        </w:tc>
        <w:tc>
          <w:tcPr>
            <w:tcW w:w="182"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384" w:type="pct"/>
            <w:noWrap w:val="0"/>
            <w:vAlign w:val="center"/>
          </w:tcPr>
          <w:p>
            <w:pPr>
              <w:spacing w:line="320" w:lineRule="exact"/>
              <w:rPr>
                <w:rFonts w:ascii="Times New Roman" w:hAnsi="Times New Roman"/>
              </w:rPr>
            </w:pPr>
            <w:r>
              <w:rPr>
                <w:rFonts w:ascii="Times New Roman" w:hAnsi="Times New Roman"/>
              </w:rPr>
              <w:t>总则</w:t>
            </w:r>
          </w:p>
        </w:tc>
        <w:tc>
          <w:tcPr>
            <w:tcW w:w="350" w:type="pct"/>
            <w:noWrap w:val="0"/>
            <w:vAlign w:val="center"/>
          </w:tcPr>
          <w:p>
            <w:pPr>
              <w:spacing w:line="320" w:lineRule="exact"/>
            </w:pPr>
            <w:r>
              <w:rPr>
                <w:rFonts w:hint="eastAsia"/>
                <w:lang w:val="en-US" w:eastAsia="zh-CN"/>
              </w:rPr>
              <w:t>Q</w:t>
            </w:r>
            <w:r>
              <w:t>9.1</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J12.3/</w:t>
            </w:r>
          </w:p>
          <w:p>
            <w:pPr>
              <w:pStyle w:val="2"/>
            </w:pPr>
            <w:r>
              <w:rPr>
                <w:rFonts w:hint="eastAsia" w:asciiTheme="minorEastAsia" w:hAnsiTheme="minorEastAsia" w:eastAsiaTheme="minorEastAsia" w:cstheme="minorEastAsia"/>
                <w:sz w:val="21"/>
                <w:szCs w:val="21"/>
              </w:rPr>
              <w:t>12.4</w:t>
            </w:r>
          </w:p>
        </w:tc>
        <w:tc>
          <w:tcPr>
            <w:tcW w:w="4083" w:type="pct"/>
            <w:noWrap w:val="0"/>
            <w:vAlign w:val="center"/>
          </w:tcPr>
          <w:p>
            <w:pPr>
              <w:spacing w:line="320" w:lineRule="exact"/>
              <w:rPr>
                <w:rFonts w:ascii="Times New Roman" w:hAnsi="Times New Roman"/>
              </w:rPr>
            </w:pPr>
            <w:r>
              <w:rPr>
                <w:rFonts w:ascii="Times New Roman" w:hAnsi="Times New Roman"/>
              </w:rPr>
              <w:t>组织策划了对绩效的监视和测量，对绩效的分析和评价，对事项进行汇报的程序等。保留了必要的记录文件。</w:t>
            </w:r>
          </w:p>
          <w:p>
            <w:pPr>
              <w:spacing w:line="320" w:lineRule="exact"/>
              <w:rPr>
                <w:rFonts w:ascii="Times New Roman" w:hAnsi="Times New Roman"/>
              </w:rPr>
            </w:pPr>
            <w:r>
              <w:rPr>
                <w:rFonts w:ascii="Times New Roman" w:hAnsi="Times New Roman"/>
              </w:rPr>
              <w:t>公司通过管理评审和内部审核，以及定期的目标考核，对发现的问题采取纠正和必要的纠正措施，确保管理体系绩效和有效性。</w:t>
            </w:r>
          </w:p>
        </w:tc>
        <w:tc>
          <w:tcPr>
            <w:tcW w:w="182" w:type="pct"/>
            <w:noWrap w:val="0"/>
            <w:vAlign w:val="top"/>
          </w:tcPr>
          <w:p>
            <w:pPr>
              <w:spacing w:line="320" w:lineRule="exact"/>
              <w:rPr>
                <w:rFonts w:hint="default"/>
                <w:lang w:val="en-US" w:eastAsia="zh-CN"/>
              </w:rPr>
            </w:pPr>
            <w:r>
              <w:rPr>
                <w:rFonts w:hint="eastAsia"/>
                <w:lang w:val="en-US" w:eastAsia="zh-CN"/>
              </w:rPr>
              <w:t>OK</w:t>
            </w:r>
          </w:p>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noWrap w:val="0"/>
            <w:vAlign w:val="top"/>
          </w:tcPr>
          <w:p>
            <w:pPr>
              <w:adjustRightInd w:val="0"/>
              <w:snapToGrid w:val="0"/>
              <w:spacing w:line="240" w:lineRule="auto"/>
              <w:jc w:val="left"/>
              <w:rPr>
                <w:rFonts w:hint="eastAsia" w:asciiTheme="minorEastAsia" w:hAnsiTheme="minorEastAsia" w:eastAsiaTheme="minorEastAsia" w:cstheme="minorEastAsia"/>
                <w:sz w:val="21"/>
                <w:szCs w:val="21"/>
              </w:rPr>
            </w:pPr>
          </w:p>
          <w:p>
            <w:pPr>
              <w:adjustRightInd w:val="0"/>
              <w:snapToGrid w:val="0"/>
              <w:spacing w:line="240" w:lineRule="auto"/>
              <w:jc w:val="left"/>
              <w:rPr>
                <w:rFonts w:ascii="Times New Roman" w:hAnsi="Times New Roman"/>
              </w:rPr>
            </w:pPr>
            <w:r>
              <w:rPr>
                <w:rFonts w:hint="eastAsia" w:asciiTheme="minorEastAsia" w:hAnsiTheme="minorEastAsia" w:eastAsiaTheme="minorEastAsia" w:cstheme="minorEastAsia"/>
                <w:sz w:val="21"/>
                <w:szCs w:val="21"/>
              </w:rPr>
              <w:t>管理评审</w:t>
            </w:r>
          </w:p>
        </w:tc>
        <w:tc>
          <w:tcPr>
            <w:tcW w:w="350" w:type="pct"/>
            <w:noWrap w:val="0"/>
            <w:vAlign w:val="top"/>
          </w:tcPr>
          <w:p>
            <w:pPr>
              <w:spacing w:line="240" w:lineRule="auto"/>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Q9.3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J12.3/</w:t>
            </w:r>
          </w:p>
          <w:p>
            <w:pPr>
              <w:spacing w:line="240" w:lineRule="auto"/>
              <w:rPr>
                <w:rFonts w:ascii="Times New Roman" w:hAnsi="Times New Roman"/>
              </w:rPr>
            </w:pPr>
            <w:r>
              <w:rPr>
                <w:rFonts w:hint="eastAsia" w:asciiTheme="minorEastAsia" w:hAnsiTheme="minorEastAsia" w:eastAsiaTheme="minorEastAsia" w:cstheme="minorEastAsia"/>
                <w:sz w:val="21"/>
                <w:szCs w:val="21"/>
              </w:rPr>
              <w:t>12.4</w:t>
            </w:r>
          </w:p>
        </w:tc>
        <w:tc>
          <w:tcPr>
            <w:tcW w:w="4083" w:type="pct"/>
            <w:noWrap w:val="0"/>
            <w:vAlign w:val="center"/>
          </w:tcPr>
          <w:p>
            <w:pPr>
              <w:spacing w:line="320" w:lineRule="exact"/>
              <w:rPr>
                <w:rFonts w:ascii="Times New Roman" w:hAnsi="Times New Roman"/>
              </w:rPr>
            </w:pPr>
            <w:r>
              <w:rPr>
                <w:rFonts w:ascii="Times New Roman" w:hAnsi="Times New Roman"/>
              </w:rPr>
              <w:t>制定并执行《管理评审控制程序》：一年至少要进行一次管理评审，由总经理主持。特殊情况下，可增加管理评审频次。</w:t>
            </w:r>
          </w:p>
          <w:p>
            <w:pPr>
              <w:spacing w:line="320" w:lineRule="exact"/>
              <w:rPr>
                <w:rFonts w:ascii="Times New Roman" w:hAnsi="Times New Roman"/>
                <w:highlight w:val="none"/>
              </w:rPr>
            </w:pPr>
            <w:r>
              <w:rPr>
                <w:rFonts w:ascii="Times New Roman" w:hAnsi="Times New Roman"/>
              </w:rPr>
              <w:t>查管理评审的计划：管理</w:t>
            </w:r>
            <w:r>
              <w:rPr>
                <w:rFonts w:ascii="Times New Roman" w:hAnsi="Times New Roman"/>
                <w:highlight w:val="none"/>
              </w:rPr>
              <w:t>评审的时间：2020年</w:t>
            </w:r>
            <w:r>
              <w:rPr>
                <w:rFonts w:hint="eastAsia" w:ascii="Times New Roman" w:hAnsi="Times New Roman"/>
                <w:highlight w:val="none"/>
                <w:lang w:val="en-US" w:eastAsia="zh-CN"/>
              </w:rPr>
              <w:t>8</w:t>
            </w:r>
            <w:r>
              <w:rPr>
                <w:rFonts w:ascii="Times New Roman" w:hAnsi="Times New Roman"/>
                <w:highlight w:val="none"/>
              </w:rPr>
              <w:t>月</w:t>
            </w:r>
            <w:r>
              <w:rPr>
                <w:rFonts w:hint="eastAsia" w:ascii="Times New Roman" w:hAnsi="Times New Roman"/>
                <w:highlight w:val="none"/>
              </w:rPr>
              <w:t>2</w:t>
            </w:r>
            <w:r>
              <w:rPr>
                <w:rFonts w:hint="eastAsia" w:ascii="Times New Roman" w:hAnsi="Times New Roman"/>
                <w:highlight w:val="none"/>
                <w:lang w:val="en-US" w:eastAsia="zh-CN"/>
              </w:rPr>
              <w:t>0</w:t>
            </w:r>
            <w:r>
              <w:rPr>
                <w:rFonts w:ascii="Times New Roman" w:hAnsi="Times New Roman"/>
                <w:highlight w:val="none"/>
              </w:rPr>
              <w:t>日</w:t>
            </w:r>
          </w:p>
          <w:p>
            <w:pPr>
              <w:spacing w:line="320" w:lineRule="exact"/>
              <w:rPr>
                <w:rFonts w:ascii="Times New Roman" w:hAnsi="Times New Roman"/>
                <w:highlight w:val="none"/>
              </w:rPr>
            </w:pPr>
            <w:r>
              <w:rPr>
                <w:rFonts w:ascii="Times New Roman" w:hAnsi="Times New Roman"/>
                <w:highlight w:val="none"/>
              </w:rPr>
              <w:t xml:space="preserve">主持人：总经理    参加人：领导层、各部门负责人 </w:t>
            </w:r>
          </w:p>
          <w:p>
            <w:pPr>
              <w:spacing w:line="320" w:lineRule="exact"/>
              <w:rPr>
                <w:rFonts w:ascii="Times New Roman" w:hAnsi="Times New Roman"/>
              </w:rPr>
            </w:pPr>
            <w:r>
              <w:rPr>
                <w:rFonts w:ascii="Times New Roman" w:hAnsi="Times New Roman"/>
              </w:rPr>
              <w:t>要求每个部门需提交的管理评审输入内容包含了标准条款的要求。时间安排符合程序文件的要求。</w:t>
            </w:r>
          </w:p>
          <w:p>
            <w:pPr>
              <w:spacing w:line="320" w:lineRule="exact"/>
              <w:rPr>
                <w:rFonts w:ascii="Times New Roman" w:hAnsi="Times New Roman"/>
              </w:rPr>
            </w:pPr>
            <w:r>
              <w:rPr>
                <w:rFonts w:ascii="Times New Roman" w:hAnsi="Times New Roman"/>
              </w:rPr>
              <w:t>查看管理评审输入的资料：</w:t>
            </w:r>
          </w:p>
          <w:p>
            <w:pPr>
              <w:spacing w:line="320" w:lineRule="exact"/>
              <w:ind w:firstLine="210" w:firstLineChars="100"/>
              <w:rPr>
                <w:rFonts w:ascii="Times New Roman" w:hAnsi="Times New Roman"/>
              </w:rPr>
            </w:pPr>
            <w:r>
              <w:rPr>
                <w:rFonts w:ascii="Times New Roman" w:hAnsi="Times New Roman"/>
              </w:rPr>
              <w:t>a.管理体系审核结果以及合规性评价的结果；</w:t>
            </w:r>
          </w:p>
          <w:p>
            <w:pPr>
              <w:spacing w:line="320" w:lineRule="exact"/>
              <w:ind w:firstLine="210" w:firstLineChars="100"/>
              <w:rPr>
                <w:rFonts w:ascii="Times New Roman" w:hAnsi="Times New Roman"/>
              </w:rPr>
            </w:pPr>
            <w:r>
              <w:rPr>
                <w:rFonts w:ascii="Times New Roman" w:hAnsi="Times New Roman"/>
              </w:rPr>
              <w:t>b.顾客投诉的处理，顾客的满意度测量结果及反馈的重要信息，以及来自外部其他相关方的信息，包括相关方的抱怨。</w:t>
            </w:r>
          </w:p>
          <w:p>
            <w:pPr>
              <w:spacing w:line="320" w:lineRule="exact"/>
              <w:ind w:firstLine="210" w:firstLineChars="100"/>
              <w:rPr>
                <w:rFonts w:ascii="Times New Roman" w:hAnsi="Times New Roman"/>
              </w:rPr>
            </w:pPr>
            <w:r>
              <w:rPr>
                <w:rFonts w:ascii="Times New Roman" w:hAnsi="Times New Roman"/>
              </w:rPr>
              <w:t>c.重大质量、环境、安全事故的处理，过程及产品质量趋势；</w:t>
            </w:r>
          </w:p>
          <w:p>
            <w:pPr>
              <w:spacing w:line="320" w:lineRule="exact"/>
              <w:ind w:firstLine="210" w:firstLineChars="100"/>
              <w:rPr>
                <w:rFonts w:ascii="Times New Roman" w:hAnsi="Times New Roman"/>
              </w:rPr>
            </w:pPr>
            <w:r>
              <w:rPr>
                <w:rFonts w:ascii="Times New Roman" w:hAnsi="Times New Roman"/>
              </w:rPr>
              <w:t>d.管理体系运行状况，包括管理方针和目标以及实现程度。</w:t>
            </w:r>
          </w:p>
          <w:p>
            <w:pPr>
              <w:spacing w:line="320" w:lineRule="exact"/>
              <w:ind w:firstLine="210" w:firstLineChars="100"/>
              <w:rPr>
                <w:rFonts w:ascii="Times New Roman" w:hAnsi="Times New Roman"/>
              </w:rPr>
            </w:pPr>
            <w:r>
              <w:rPr>
                <w:rFonts w:ascii="Times New Roman" w:hAnsi="Times New Roman"/>
              </w:rPr>
              <w:t>e.环境管理体系运行绩效。</w:t>
            </w:r>
          </w:p>
          <w:p>
            <w:pPr>
              <w:spacing w:line="320" w:lineRule="exact"/>
              <w:ind w:firstLine="210" w:firstLineChars="100"/>
              <w:rPr>
                <w:rFonts w:ascii="Times New Roman" w:hAnsi="Times New Roman"/>
              </w:rPr>
            </w:pPr>
            <w:r>
              <w:rPr>
                <w:rFonts w:ascii="Times New Roman" w:hAnsi="Times New Roman"/>
              </w:rPr>
              <w:t>f.纠正预防和改进措施的实施情况。</w:t>
            </w:r>
          </w:p>
          <w:p>
            <w:pPr>
              <w:spacing w:line="320" w:lineRule="exact"/>
              <w:ind w:firstLine="210" w:firstLineChars="100"/>
              <w:rPr>
                <w:rFonts w:ascii="Times New Roman" w:hAnsi="Times New Roman"/>
              </w:rPr>
            </w:pPr>
            <w:r>
              <w:rPr>
                <w:rFonts w:ascii="Times New Roman" w:hAnsi="Times New Roman"/>
              </w:rPr>
              <w:t>g.可能影响管理体系的变更（如公司组织结构、产品结构、资源发生的重大改变和调整；相关法律法规、标准及其他要求发生变更。）</w:t>
            </w:r>
          </w:p>
          <w:p>
            <w:pPr>
              <w:spacing w:line="320" w:lineRule="exact"/>
              <w:ind w:firstLine="210" w:firstLineChars="100"/>
              <w:rPr>
                <w:rFonts w:ascii="Times New Roman" w:hAnsi="Times New Roman"/>
              </w:rPr>
            </w:pPr>
            <w:r>
              <w:rPr>
                <w:rFonts w:ascii="Times New Roman" w:hAnsi="Times New Roman"/>
              </w:rPr>
              <w:t>h.员工的合理化改进建议。</w:t>
            </w:r>
          </w:p>
          <w:p>
            <w:pPr>
              <w:spacing w:line="320" w:lineRule="exact"/>
              <w:rPr>
                <w:rFonts w:ascii="Times New Roman" w:hAnsi="Times New Roman"/>
              </w:rPr>
            </w:pPr>
            <w:r>
              <w:rPr>
                <w:rFonts w:ascii="Times New Roman" w:hAnsi="Times New Roman"/>
              </w:rPr>
              <w:t>输入内容基本符合标准要求。</w:t>
            </w:r>
          </w:p>
          <w:p>
            <w:pPr>
              <w:spacing w:line="320" w:lineRule="exact"/>
              <w:rPr>
                <w:rFonts w:ascii="Times New Roman" w:hAnsi="Times New Roman"/>
                <w:highlight w:val="none"/>
              </w:rPr>
            </w:pPr>
            <w:r>
              <w:rPr>
                <w:rFonts w:ascii="Times New Roman" w:hAnsi="Times New Roman"/>
              </w:rPr>
              <w:t>提供管理评审会议记录：各</w:t>
            </w:r>
            <w:r>
              <w:rPr>
                <w:rFonts w:ascii="Times New Roman" w:hAnsi="Times New Roman"/>
                <w:highlight w:val="none"/>
              </w:rPr>
              <w:t>部门负责人汇报了各部门的管理体系运行情况，管理者代表汇报了公司管理体系运行状况和内审不合格的整改情况，参会人员根据各部门的汇报情况展开讨论，总经理总结，同时就改进的决议作出了安排。</w:t>
            </w:r>
          </w:p>
          <w:p>
            <w:pPr>
              <w:spacing w:line="320" w:lineRule="exact"/>
              <w:rPr>
                <w:rFonts w:hint="eastAsia" w:ascii="Times New Roman" w:hAnsi="Times New Roman" w:eastAsia="宋体"/>
                <w:highlight w:val="none"/>
                <w:lang w:eastAsia="zh-CN"/>
              </w:rPr>
            </w:pPr>
            <w:r>
              <w:rPr>
                <w:rFonts w:ascii="Times New Roman" w:hAnsi="Times New Roman"/>
                <w:highlight w:val="none"/>
              </w:rPr>
              <w:t>查看管理评审报告，批准：</w:t>
            </w:r>
            <w:r>
              <w:rPr>
                <w:rFonts w:hint="eastAsia" w:ascii="Times New Roman" w:hAnsi="Times New Roman"/>
                <w:highlight w:val="none"/>
                <w:lang w:val="en-US" w:eastAsia="zh-CN"/>
              </w:rPr>
              <w:t xml:space="preserve">姚光东  </w:t>
            </w:r>
            <w:r>
              <w:rPr>
                <w:rFonts w:ascii="Times New Roman" w:hAnsi="Times New Roman"/>
                <w:highlight w:val="none"/>
              </w:rPr>
              <w:t>2020.</w:t>
            </w:r>
            <w:r>
              <w:rPr>
                <w:rFonts w:hint="eastAsia" w:ascii="Times New Roman" w:hAnsi="Times New Roman"/>
                <w:highlight w:val="none"/>
                <w:lang w:val="en-US" w:eastAsia="zh-CN"/>
              </w:rPr>
              <w:t>8</w:t>
            </w:r>
            <w:r>
              <w:rPr>
                <w:rFonts w:hint="eastAsia" w:ascii="Times New Roman" w:hAnsi="Times New Roman"/>
                <w:highlight w:val="none"/>
              </w:rPr>
              <w:t>.2</w:t>
            </w:r>
            <w:r>
              <w:rPr>
                <w:rFonts w:hint="eastAsia" w:ascii="Times New Roman" w:hAnsi="Times New Roman"/>
                <w:highlight w:val="none"/>
                <w:lang w:val="en-US" w:eastAsia="zh-CN"/>
              </w:rPr>
              <w:t>0</w:t>
            </w:r>
          </w:p>
          <w:p>
            <w:pPr>
              <w:rPr>
                <w:rFonts w:ascii="宋体" w:hAnsi="宋体"/>
              </w:rPr>
            </w:pPr>
            <w:r>
              <w:rPr>
                <w:rFonts w:hint="eastAsia" w:ascii="宋体" w:hAnsi="宋体"/>
              </w:rPr>
              <w:t>评审结论：公司按照GB/T</w:t>
            </w:r>
            <w:r>
              <w:rPr>
                <w:rFonts w:hint="eastAsia" w:ascii="宋体" w:hAnsi="宋体"/>
                <w:lang w:val="en-US" w:eastAsia="zh-CN"/>
              </w:rPr>
              <w:t xml:space="preserve"> </w:t>
            </w:r>
            <w:r>
              <w:rPr>
                <w:rFonts w:hint="eastAsia" w:ascii="宋体" w:hAnsi="宋体"/>
              </w:rPr>
              <w:t>19001-2016、GB/T</w:t>
            </w:r>
            <w:r>
              <w:rPr>
                <w:rFonts w:hint="eastAsia" w:ascii="宋体" w:hAnsi="宋体"/>
                <w:lang w:val="en-US" w:eastAsia="zh-CN"/>
              </w:rPr>
              <w:t xml:space="preserve"> </w:t>
            </w:r>
            <w:r>
              <w:rPr>
                <w:rFonts w:hint="eastAsia" w:ascii="宋体" w:hAnsi="宋体"/>
              </w:rPr>
              <w:t>50430-2017、GB/T</w:t>
            </w:r>
            <w:r>
              <w:rPr>
                <w:rFonts w:hint="eastAsia" w:ascii="宋体" w:hAnsi="宋体"/>
                <w:lang w:val="en-US" w:eastAsia="zh-CN"/>
              </w:rPr>
              <w:t xml:space="preserve"> </w:t>
            </w:r>
            <w:r>
              <w:rPr>
                <w:rFonts w:hint="eastAsia" w:ascii="宋体" w:hAnsi="宋体"/>
              </w:rPr>
              <w:t>24001-2016、GB/T</w:t>
            </w:r>
            <w:r>
              <w:rPr>
                <w:rFonts w:hint="eastAsia" w:ascii="宋体" w:hAnsi="宋体"/>
                <w:lang w:val="en-US" w:eastAsia="zh-CN"/>
              </w:rPr>
              <w:t xml:space="preserve"> </w:t>
            </w:r>
            <w:r>
              <w:rPr>
                <w:rFonts w:hint="eastAsia" w:ascii="宋体" w:hAnsi="宋体"/>
              </w:rPr>
              <w:t>4</w:t>
            </w:r>
            <w:r>
              <w:rPr>
                <w:rFonts w:hint="eastAsia" w:ascii="宋体" w:hAnsi="宋体"/>
                <w:lang w:val="en-US" w:eastAsia="zh-CN"/>
              </w:rPr>
              <w:t>5</w:t>
            </w:r>
            <w:r>
              <w:rPr>
                <w:rFonts w:hint="eastAsia" w:ascii="宋体" w:hAnsi="宋体"/>
              </w:rPr>
              <w:t>001-20</w:t>
            </w:r>
            <w:r>
              <w:rPr>
                <w:rFonts w:hint="eastAsia" w:ascii="宋体" w:hAnsi="宋体"/>
                <w:lang w:val="en-US" w:eastAsia="zh-CN"/>
              </w:rPr>
              <w:t>20/</w:t>
            </w:r>
            <w:r>
              <w:rPr>
                <w:rFonts w:hint="eastAsia" w:ascii="宋体" w:hAnsi="宋体"/>
              </w:rPr>
              <w:t>ISO45001:2018标准建立的管理体系管理体系，是持续适宜、充分的和有效的。达到了顾客满意和持续改进的目的。</w:t>
            </w:r>
          </w:p>
          <w:p>
            <w:pPr>
              <w:rPr>
                <w:rFonts w:ascii="宋体" w:hAnsi="宋体"/>
              </w:rPr>
            </w:pPr>
            <w:r>
              <w:rPr>
                <w:rFonts w:hint="eastAsia" w:ascii="宋体" w:hAnsi="宋体"/>
              </w:rPr>
              <w:t>改进的建议：要进一步强化质量、环保、职业健康安全管理体系标准、工程建设施工企业质量管理规范的培训。</w:t>
            </w:r>
          </w:p>
          <w:p>
            <w:pPr>
              <w:spacing w:line="320" w:lineRule="exact"/>
              <w:rPr>
                <w:rFonts w:ascii="Times New Roman" w:hAnsi="Times New Roman"/>
              </w:rPr>
            </w:pPr>
            <w:r>
              <w:rPr>
                <w:rFonts w:hint="eastAsia" w:ascii="宋体" w:hAnsi="宋体"/>
              </w:rPr>
              <w:t>经查，已实施完成</w:t>
            </w:r>
            <w:r>
              <w:rPr>
                <w:rFonts w:ascii="Times New Roman" w:hAnsi="Times New Roman"/>
              </w:rPr>
              <w:t>。</w:t>
            </w:r>
          </w:p>
        </w:tc>
        <w:tc>
          <w:tcPr>
            <w:tcW w:w="182"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384" w:type="pct"/>
            <w:noWrap w:val="0"/>
            <w:vAlign w:val="top"/>
          </w:tcPr>
          <w:p>
            <w:pPr>
              <w:spacing w:line="240" w:lineRule="auto"/>
              <w:rPr>
                <w:rFonts w:ascii="Times New Roman" w:hAnsi="Times New Roman"/>
              </w:rPr>
            </w:pPr>
            <w:r>
              <w:rPr>
                <w:rFonts w:hint="eastAsia" w:asciiTheme="minorEastAsia" w:hAnsiTheme="minorEastAsia" w:eastAsiaTheme="minorEastAsia"/>
                <w:color w:val="000000" w:themeColor="text1"/>
                <w:szCs w:val="24"/>
              </w:rPr>
              <w:t>国家/地方抽查、顾客满意、相关方投诉处理</w:t>
            </w:r>
          </w:p>
        </w:tc>
        <w:tc>
          <w:tcPr>
            <w:tcW w:w="350" w:type="pct"/>
            <w:noWrap w:val="0"/>
            <w:vAlign w:val="top"/>
          </w:tcPr>
          <w:p>
            <w:pPr>
              <w:spacing w:line="360" w:lineRule="auto"/>
              <w:ind w:firstLine="420" w:firstLineChars="200"/>
              <w:rPr>
                <w:rFonts w:ascii="Times New Roman" w:hAnsi="Times New Roman"/>
              </w:rPr>
            </w:pPr>
          </w:p>
        </w:tc>
        <w:tc>
          <w:tcPr>
            <w:tcW w:w="4083" w:type="pct"/>
            <w:noWrap w:val="0"/>
            <w:vAlign w:val="top"/>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自公司成立以来，未受到上级主管部门有关环境问题的行政处罚。未发生相关方的投诉。</w:t>
            </w:r>
          </w:p>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暂没有国家/地方抽查情况。</w:t>
            </w:r>
          </w:p>
          <w:p>
            <w:pPr>
              <w:spacing w:line="360" w:lineRule="auto"/>
              <w:rPr>
                <w:rFonts w:ascii="Times New Roman" w:hAnsi="Times New Roman"/>
              </w:rPr>
            </w:pPr>
            <w:r>
              <w:rPr>
                <w:rFonts w:hint="eastAsia" w:asciiTheme="minorEastAsia" w:hAnsiTheme="minorEastAsia" w:eastAsiaTheme="minorEastAsia"/>
                <w:color w:val="000000" w:themeColor="text1"/>
                <w:szCs w:val="24"/>
              </w:rPr>
              <w:t>目前没有相关行政主管部门的检查处罚，在审核时也未发现抽查、相关方投诉等情况。</w:t>
            </w:r>
          </w:p>
        </w:tc>
        <w:tc>
          <w:tcPr>
            <w:tcW w:w="182" w:type="pct"/>
            <w:noWrap w:val="0"/>
            <w:vAlign w:val="top"/>
          </w:tcPr>
          <w:p>
            <w:pPr>
              <w:spacing w:line="320" w:lineRule="exact"/>
              <w:rPr>
                <w:rFonts w:hint="default"/>
                <w:lang w:val="en-US" w:eastAsia="zh-CN"/>
              </w:rPr>
            </w:pPr>
            <w:r>
              <w:rPr>
                <w:rFonts w:hint="eastAsia"/>
                <w:lang w:val="en-US" w:eastAsia="zh-CN"/>
              </w:rPr>
              <w:t>OK</w:t>
            </w:r>
          </w:p>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84" w:type="pct"/>
            <w:noWrap w:val="0"/>
            <w:vAlign w:val="top"/>
          </w:tcPr>
          <w:p>
            <w:pPr>
              <w:spacing w:line="360" w:lineRule="auto"/>
              <w:rPr>
                <w:rFonts w:hint="eastAsia"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验证资质</w:t>
            </w:r>
          </w:p>
        </w:tc>
        <w:tc>
          <w:tcPr>
            <w:tcW w:w="350" w:type="pct"/>
            <w:noWrap w:val="0"/>
            <w:vAlign w:val="top"/>
          </w:tcPr>
          <w:p>
            <w:pPr>
              <w:spacing w:line="360" w:lineRule="auto"/>
              <w:ind w:firstLine="420" w:firstLineChars="200"/>
              <w:rPr>
                <w:rFonts w:ascii="Times New Roman" w:hAnsi="Times New Roman"/>
              </w:rPr>
            </w:pPr>
          </w:p>
        </w:tc>
        <w:tc>
          <w:tcPr>
            <w:tcW w:w="4083" w:type="pct"/>
            <w:noWrap w:val="0"/>
            <w:vAlign w:val="center"/>
          </w:tcPr>
          <w:p>
            <w:pPr>
              <w:spacing w:line="320" w:lineRule="exact"/>
              <w:rPr>
                <w:rFonts w:hint="eastAsia" w:ascii="Times New Roman" w:hAnsi="Times New Roman"/>
              </w:rPr>
            </w:pPr>
            <w:r>
              <w:rPr>
                <w:rFonts w:hint="eastAsia" w:ascii="Times New Roman" w:hAnsi="Times New Roman"/>
              </w:rPr>
              <w:t xml:space="preserve">证书名称                            证书编号                          </w:t>
            </w:r>
            <w:r>
              <w:rPr>
                <w:rFonts w:hint="eastAsia" w:ascii="Times New Roman" w:hAnsi="Times New Roman"/>
                <w:lang w:val="en-US" w:eastAsia="zh-CN"/>
              </w:rPr>
              <w:t xml:space="preserve">   </w:t>
            </w:r>
            <w:r>
              <w:rPr>
                <w:rFonts w:hint="eastAsia" w:ascii="Times New Roman" w:hAnsi="Times New Roman"/>
              </w:rPr>
              <w:t xml:space="preserve"> 有效期</w:t>
            </w:r>
          </w:p>
          <w:p>
            <w:pPr>
              <w:spacing w:line="320" w:lineRule="exact"/>
              <w:rPr>
                <w:rFonts w:hint="eastAsia" w:ascii="Times New Roman" w:hAnsi="Times New Roman"/>
              </w:rPr>
            </w:pPr>
            <w:r>
              <w:rPr>
                <w:rFonts w:hint="eastAsia" w:ascii="Times New Roman" w:hAnsi="Times New Roman"/>
              </w:rPr>
              <w:t>营业执照                       91341182MA2MTPAW2K                       长期</w:t>
            </w:r>
          </w:p>
          <w:p>
            <w:pPr>
              <w:spacing w:line="320" w:lineRule="exact"/>
              <w:rPr>
                <w:rFonts w:hint="eastAsia" w:ascii="Times New Roman" w:hAnsi="Times New Roman"/>
              </w:rPr>
            </w:pPr>
            <w:r>
              <w:rPr>
                <w:rFonts w:hint="eastAsia" w:ascii="Times New Roman" w:hAnsi="Times New Roman"/>
              </w:rPr>
              <w:t xml:space="preserve">安全生产许可证                  皖JZ安许证字（2017）003542             </w:t>
            </w:r>
            <w:r>
              <w:rPr>
                <w:rFonts w:hint="eastAsia" w:ascii="Times New Roman" w:hAnsi="Times New Roman"/>
                <w:lang w:val="en-US" w:eastAsia="zh-CN"/>
              </w:rPr>
              <w:t xml:space="preserve"> </w:t>
            </w:r>
            <w:r>
              <w:rPr>
                <w:rFonts w:hint="eastAsia" w:ascii="Times New Roman" w:hAnsi="Times New Roman"/>
              </w:rPr>
              <w:t>202</w:t>
            </w:r>
            <w:r>
              <w:rPr>
                <w:rFonts w:hint="eastAsia" w:ascii="Times New Roman" w:hAnsi="Times New Roman"/>
                <w:lang w:val="en-US" w:eastAsia="zh-CN"/>
              </w:rPr>
              <w:t>3.03.0</w:t>
            </w:r>
            <w:r>
              <w:rPr>
                <w:rFonts w:hint="eastAsia" w:ascii="Times New Roman" w:hAnsi="Times New Roman"/>
              </w:rPr>
              <w:t>2</w:t>
            </w:r>
          </w:p>
          <w:p>
            <w:pPr>
              <w:spacing w:line="320" w:lineRule="exact"/>
              <w:rPr>
                <w:rFonts w:hint="eastAsia" w:ascii="Times New Roman" w:hAnsi="Times New Roman"/>
              </w:rPr>
            </w:pPr>
            <w:r>
              <w:rPr>
                <w:rFonts w:hint="eastAsia" w:ascii="Times New Roman" w:hAnsi="Times New Roman"/>
                <w:lang w:val="en-US" w:eastAsia="zh-CN"/>
              </w:rPr>
              <w:t xml:space="preserve">建筑工程施工总承包叁级               </w:t>
            </w:r>
            <w:r>
              <w:rPr>
                <w:rFonts w:hint="eastAsia" w:ascii="Times New Roman" w:hAnsi="Times New Roman"/>
              </w:rPr>
              <w:t xml:space="preserve"> D334090378                         2022</w:t>
            </w:r>
            <w:r>
              <w:rPr>
                <w:rFonts w:hint="eastAsia" w:ascii="Times New Roman" w:hAnsi="Times New Roman"/>
                <w:lang w:val="en-US" w:eastAsia="zh-CN"/>
              </w:rPr>
              <w:t>.0</w:t>
            </w:r>
            <w:r>
              <w:rPr>
                <w:rFonts w:hint="eastAsia" w:ascii="Times New Roman" w:hAnsi="Times New Roman"/>
              </w:rPr>
              <w:t>1</w:t>
            </w:r>
            <w:r>
              <w:rPr>
                <w:rFonts w:hint="eastAsia" w:ascii="Times New Roman" w:hAnsi="Times New Roman"/>
                <w:lang w:val="en-US" w:eastAsia="zh-CN"/>
              </w:rPr>
              <w:t>.0</w:t>
            </w:r>
            <w:r>
              <w:rPr>
                <w:rFonts w:hint="eastAsia" w:ascii="Times New Roman" w:hAnsi="Times New Roman"/>
              </w:rPr>
              <w:t>9</w:t>
            </w:r>
          </w:p>
          <w:p>
            <w:pPr>
              <w:spacing w:line="320" w:lineRule="exact"/>
              <w:rPr>
                <w:rFonts w:hint="eastAsia" w:ascii="Times New Roman" w:hAnsi="Times New Roman"/>
              </w:rPr>
            </w:pPr>
            <w:r>
              <w:rPr>
                <w:rFonts w:hint="eastAsia" w:ascii="Times New Roman" w:hAnsi="Times New Roman"/>
                <w:lang w:val="en-US" w:eastAsia="zh-CN"/>
              </w:rPr>
              <w:t xml:space="preserve">水利水电工程施工总承包叁级            </w:t>
            </w:r>
            <w:r>
              <w:rPr>
                <w:rFonts w:hint="eastAsia" w:ascii="Times New Roman" w:hAnsi="Times New Roman"/>
              </w:rPr>
              <w:t>D334090378                         2022</w:t>
            </w:r>
            <w:r>
              <w:rPr>
                <w:rFonts w:hint="eastAsia" w:ascii="Times New Roman" w:hAnsi="Times New Roman"/>
                <w:lang w:val="en-US" w:eastAsia="zh-CN"/>
              </w:rPr>
              <w:t>.0</w:t>
            </w:r>
            <w:r>
              <w:rPr>
                <w:rFonts w:hint="eastAsia" w:ascii="Times New Roman" w:hAnsi="Times New Roman"/>
              </w:rPr>
              <w:t>1</w:t>
            </w:r>
            <w:r>
              <w:rPr>
                <w:rFonts w:hint="eastAsia" w:ascii="Times New Roman" w:hAnsi="Times New Roman"/>
                <w:lang w:val="en-US" w:eastAsia="zh-CN"/>
              </w:rPr>
              <w:t>.0</w:t>
            </w:r>
            <w:r>
              <w:rPr>
                <w:rFonts w:hint="eastAsia" w:ascii="Times New Roman" w:hAnsi="Times New Roman"/>
              </w:rPr>
              <w:t>9</w:t>
            </w:r>
          </w:p>
          <w:p>
            <w:pPr>
              <w:spacing w:line="320" w:lineRule="exact"/>
              <w:rPr>
                <w:rFonts w:hint="eastAsia" w:ascii="Times New Roman" w:hAnsi="Times New Roman"/>
              </w:rPr>
            </w:pPr>
            <w:r>
              <w:rPr>
                <w:rFonts w:hint="eastAsia" w:ascii="Times New Roman" w:hAnsi="Times New Roman"/>
                <w:lang w:val="en-US" w:eastAsia="zh-CN"/>
              </w:rPr>
              <w:t xml:space="preserve">市政公用工程施工总承包贰级            </w:t>
            </w:r>
            <w:r>
              <w:rPr>
                <w:rFonts w:hint="eastAsia" w:ascii="Times New Roman" w:hAnsi="Times New Roman"/>
              </w:rPr>
              <w:t>D234090371</w:t>
            </w:r>
            <w:r>
              <w:rPr>
                <w:rFonts w:hint="eastAsia" w:ascii="Times New Roman" w:hAnsi="Times New Roman"/>
                <w:lang w:val="en-US" w:eastAsia="zh-CN"/>
              </w:rPr>
              <w:t xml:space="preserve">                         </w:t>
            </w:r>
            <w:r>
              <w:rPr>
                <w:rFonts w:hint="eastAsia" w:ascii="Times New Roman" w:hAnsi="Times New Roman"/>
              </w:rPr>
              <w:t>2022</w:t>
            </w:r>
            <w:r>
              <w:rPr>
                <w:rFonts w:hint="eastAsia" w:ascii="Times New Roman" w:hAnsi="Times New Roman"/>
                <w:lang w:val="en-US" w:eastAsia="zh-CN"/>
              </w:rPr>
              <w:t>.</w:t>
            </w:r>
            <w:r>
              <w:rPr>
                <w:rFonts w:hint="eastAsia" w:ascii="Times New Roman" w:hAnsi="Times New Roman"/>
              </w:rPr>
              <w:t>11</w:t>
            </w:r>
            <w:r>
              <w:rPr>
                <w:rFonts w:hint="eastAsia" w:ascii="Times New Roman" w:hAnsi="Times New Roman"/>
                <w:lang w:val="en-US" w:eastAsia="zh-CN"/>
              </w:rPr>
              <w:t>.</w:t>
            </w:r>
            <w:r>
              <w:rPr>
                <w:rFonts w:hint="eastAsia" w:ascii="Times New Roman" w:hAnsi="Times New Roman"/>
              </w:rPr>
              <w:t>29</w:t>
            </w:r>
          </w:p>
          <w:p>
            <w:pPr>
              <w:spacing w:line="320" w:lineRule="exact"/>
              <w:rPr>
                <w:rFonts w:hint="eastAsia" w:asciiTheme="minorEastAsia" w:hAnsiTheme="minorEastAsia" w:eastAsiaTheme="minorEastAsia"/>
                <w:color w:val="000000" w:themeColor="text1"/>
                <w:szCs w:val="24"/>
              </w:rPr>
            </w:pPr>
          </w:p>
        </w:tc>
        <w:tc>
          <w:tcPr>
            <w:tcW w:w="182" w:type="pct"/>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384" w:type="pct"/>
            <w:noWrap w:val="0"/>
            <w:vAlign w:val="center"/>
          </w:tcPr>
          <w:p>
            <w:pPr>
              <w:pStyle w:val="2"/>
              <w:rPr>
                <w:rFonts w:hint="eastAsia"/>
                <w:color w:val="auto"/>
                <w:lang w:val="en-US" w:eastAsia="zh-CN"/>
              </w:rPr>
            </w:pPr>
            <w:r>
              <w:rPr>
                <w:rFonts w:hint="eastAsia"/>
                <w:color w:val="auto"/>
                <w:lang w:val="en-US" w:eastAsia="zh-CN"/>
              </w:rPr>
              <w:t>Q8.3 J10.3设计删减确认。</w:t>
            </w:r>
          </w:p>
          <w:p>
            <w:pPr>
              <w:spacing w:line="320" w:lineRule="exact"/>
              <w:rPr>
                <w:rFonts w:ascii="Times New Roman" w:hAnsi="Times New Roman"/>
                <w:color w:val="auto"/>
              </w:rPr>
            </w:pPr>
          </w:p>
        </w:tc>
        <w:tc>
          <w:tcPr>
            <w:tcW w:w="350" w:type="pct"/>
            <w:noWrap w:val="0"/>
            <w:vAlign w:val="center"/>
          </w:tcPr>
          <w:p>
            <w:pPr>
              <w:spacing w:line="320" w:lineRule="exact"/>
              <w:rPr>
                <w:rFonts w:ascii="Times New Roman" w:hAnsi="Times New Roman"/>
                <w:color w:val="auto"/>
              </w:rPr>
            </w:pPr>
          </w:p>
        </w:tc>
        <w:tc>
          <w:tcPr>
            <w:tcW w:w="4083" w:type="pct"/>
            <w:noWrap w:val="0"/>
            <w:vAlign w:val="center"/>
          </w:tcPr>
          <w:p>
            <w:pPr>
              <w:numPr>
                <w:ilvl w:val="0"/>
                <w:numId w:val="0"/>
              </w:numPr>
              <w:adjustRightInd w:val="0"/>
              <w:spacing w:line="300" w:lineRule="auto"/>
              <w:ind w:leftChars="0" w:firstLine="420" w:firstLineChars="200"/>
              <w:textAlignment w:val="baseline"/>
              <w:rPr>
                <w:rFonts w:hint="eastAsia" w:ascii="宋体" w:hAnsi="宋体"/>
                <w:color w:val="auto"/>
              </w:rPr>
            </w:pPr>
            <w:r>
              <w:rPr>
                <w:rFonts w:hint="eastAsia" w:ascii="宋体" w:hAnsi="宋体" w:eastAsia="宋体" w:cs="宋体"/>
                <w:color w:val="auto"/>
                <w:sz w:val="21"/>
                <w:szCs w:val="21"/>
              </w:rPr>
              <w:t>质量手册有阐明范围，不适用条款识别，不适用条款为8.3，</w:t>
            </w:r>
            <w:r>
              <w:rPr>
                <w:rFonts w:hint="eastAsia" w:ascii="宋体" w:hAnsi="宋体" w:eastAsia="宋体" w:cs="宋体"/>
                <w:bCs/>
                <w:color w:val="auto"/>
                <w:sz w:val="21"/>
                <w:szCs w:val="21"/>
              </w:rPr>
              <w:t>说明:</w:t>
            </w:r>
            <w:r>
              <w:rPr>
                <w:rFonts w:hint="eastAsia" w:ascii="宋体" w:hAnsi="宋体" w:eastAsia="宋体" w:cs="宋体"/>
                <w:color w:val="auto"/>
                <w:sz w:val="21"/>
                <w:szCs w:val="21"/>
              </w:rPr>
              <w:t>公司所承建的工程项目，工程设计阶段均是由建设单位委托设计单位承担，所以本手册对GB/T19001-2016标准8.3条款和GB/T50430-2017规范10.3条款的要求予以删减。该删减既不影响公司提供满足行业标准和客户要求的工程项目，也不减少公司满足法律和法规要求的责任（在建筑施工前有对图纸进行会审及建筑施工过程中提出设计更改的权利与义务）</w:t>
            </w:r>
            <w:r>
              <w:rPr>
                <w:rFonts w:hint="eastAsia" w:ascii="宋体" w:hAnsi="宋体" w:eastAsia="宋体" w:cs="宋体"/>
                <w:color w:val="auto"/>
                <w:sz w:val="21"/>
                <w:szCs w:val="21"/>
                <w:lang w:eastAsia="zh-CN"/>
              </w:rPr>
              <w:t>。</w:t>
            </w:r>
          </w:p>
        </w:tc>
        <w:tc>
          <w:tcPr>
            <w:tcW w:w="182" w:type="pct"/>
            <w:noWrap w:val="0"/>
            <w:vAlign w:val="top"/>
          </w:tcPr>
          <w:p>
            <w:pPr>
              <w:spacing w:line="320" w:lineRule="exact"/>
              <w:rPr>
                <w:rFonts w:hint="default"/>
                <w:lang w:val="en-US" w:eastAsia="zh-CN"/>
              </w:rPr>
            </w:pPr>
            <w:r>
              <w:rPr>
                <w:rFonts w:hint="eastAsia"/>
                <w:lang w:val="en-US" w:eastAsia="zh-CN"/>
              </w:rPr>
              <w:t>OK</w:t>
            </w:r>
          </w:p>
          <w:p>
            <w:pPr>
              <w:spacing w:line="320" w:lineRule="exact"/>
              <w:rPr>
                <w:rFonts w:ascii="Times New Roman" w:hAnsi="Times New Roman"/>
              </w:rPr>
            </w:pPr>
          </w:p>
        </w:tc>
      </w:tr>
    </w:tbl>
    <w:p>
      <w:pPr>
        <w:pStyle w:val="5"/>
        <w:rPr>
          <w:rFonts w:hint="eastAsia"/>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北魏楷书简体">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AE060"/>
    <w:multiLevelType w:val="singleLevel"/>
    <w:tmpl w:val="2E2AE06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B84549"/>
    <w:rsid w:val="098476E9"/>
    <w:rsid w:val="0DB049F4"/>
    <w:rsid w:val="13572479"/>
    <w:rsid w:val="195D2562"/>
    <w:rsid w:val="1AC531CE"/>
    <w:rsid w:val="1C6369EC"/>
    <w:rsid w:val="1DB73D7B"/>
    <w:rsid w:val="30277916"/>
    <w:rsid w:val="30C34170"/>
    <w:rsid w:val="31D37B2C"/>
    <w:rsid w:val="35F47244"/>
    <w:rsid w:val="3D3F22AB"/>
    <w:rsid w:val="45173B72"/>
    <w:rsid w:val="47190B31"/>
    <w:rsid w:val="491B353A"/>
    <w:rsid w:val="493B2515"/>
    <w:rsid w:val="4BD01925"/>
    <w:rsid w:val="4F9D0781"/>
    <w:rsid w:val="55BD5FBC"/>
    <w:rsid w:val="56F553D5"/>
    <w:rsid w:val="580B25FE"/>
    <w:rsid w:val="5BEC528D"/>
    <w:rsid w:val="64D209B5"/>
    <w:rsid w:val="64EB5960"/>
    <w:rsid w:val="6631518F"/>
    <w:rsid w:val="6DCA0AB8"/>
    <w:rsid w:val="6E904531"/>
    <w:rsid w:val="722674DD"/>
    <w:rsid w:val="741404B2"/>
    <w:rsid w:val="794668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after="120" w:line="480" w:lineRule="auto"/>
    </w:pPr>
    <w:rPr>
      <w:rFonts w:asciiTheme="minorHAnsi" w:hAnsiTheme="minorHAnsi" w:eastAsiaTheme="minorEastAsia" w:cstheme="minorBidi"/>
    </w:rPr>
  </w:style>
  <w:style w:type="paragraph" w:styleId="8">
    <w:name w:val="Body Text First Indent 2"/>
    <w:basedOn w:val="3"/>
    <w:unhideWhenUsed/>
    <w:qFormat/>
    <w:uiPriority w:val="99"/>
    <w:pPr>
      <w:ind w:firstLine="420" w:firstLineChars="200"/>
    </w:pPr>
    <w:rPr>
      <w:szCs w:val="24"/>
    </w:rPr>
  </w:style>
  <w:style w:type="character" w:customStyle="1" w:styleId="11">
    <w:name w:val="页眉 Char"/>
    <w:basedOn w:val="10"/>
    <w:link w:val="6"/>
    <w:uiPriority w:val="99"/>
    <w:rPr>
      <w:rFonts w:ascii="Times New Roman" w:hAnsi="Times New Roman" w:eastAsia="宋体" w:cs="Times New Roman"/>
      <w:sz w:val="18"/>
      <w:szCs w:val="18"/>
    </w:rPr>
  </w:style>
  <w:style w:type="character" w:customStyle="1" w:styleId="12">
    <w:name w:val="页脚 Char"/>
    <w:basedOn w:val="10"/>
    <w:link w:val="5"/>
    <w:uiPriority w:val="99"/>
    <w:rPr>
      <w:rFonts w:ascii="Times New Roman" w:hAnsi="Times New Roman" w:eastAsia="宋体" w:cs="Times New Roman"/>
      <w:sz w:val="18"/>
      <w:szCs w:val="18"/>
    </w:rPr>
  </w:style>
  <w:style w:type="character" w:customStyle="1" w:styleId="13">
    <w:name w:val="批注框文本 Char"/>
    <w:basedOn w:val="10"/>
    <w:link w:val="4"/>
    <w:semiHidden/>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NormalCharacter"/>
    <w:semiHidden/>
    <w:qFormat/>
    <w:uiPriority w:val="0"/>
  </w:style>
  <w:style w:type="paragraph" w:styleId="16">
    <w:name w:val="List Paragraph"/>
    <w:basedOn w:val="1"/>
    <w:qFormat/>
    <w:uiPriority w:val="99"/>
    <w:pPr>
      <w:ind w:firstLine="420" w:firstLineChars="200"/>
    </w:pPr>
    <w:rPr>
      <w:rFonts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5</TotalTime>
  <ScaleCrop>false</ScaleCrop>
  <LinksUpToDate>false</LinksUpToDate>
  <CharactersWithSpaces>100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2020-12-12T07:15:23Z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