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182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397" w:tblpY="372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黑龙江省格泰科技开发有限公司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</w:rPr>
              <w:t>准确度等级/最大允许误差/测量不确定度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GT-D无线随钻测斜仪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GT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620518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=1</w:t>
            </w:r>
            <w:r>
              <w:rPr>
                <w:rFonts w:hint="default" w:ascii="Calibri" w:hAnsi="Calibri" w:cs="Calibri" w:eastAsiaTheme="majorEastAsia"/>
                <w:sz w:val="18"/>
                <w:szCs w:val="18"/>
                <w:lang w:val="en-US" w:eastAsia="zh-CN"/>
              </w:rPr>
              <w:t>'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=0.2mm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  <w:t>角度快；2级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  <w:t>2020.4.16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13340628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MY61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0.19%;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多功能校准仪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.10.1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MBGIC41511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15B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0.19%;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多功能校准仪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.10.1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0.02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水平仪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B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X2-S30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=0.05mm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百分表检定仪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J161060542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W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-20A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5-110HR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E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 w:asciiTheme="majorEastAsia" w:hAnsiTheme="majorEastAsia" w:eastAsiaTheme="majorEastAsia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=0.55</w:t>
            </w:r>
            <w:r>
              <w:rPr>
                <w:rFonts w:hint="eastAsia"/>
                <w:i/>
                <w:iCs/>
                <w:lang w:val="en-US" w:eastAsia="zh-CN"/>
              </w:rPr>
              <w:t>;k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，所有测量设备均送检至，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</w:t>
            </w:r>
            <w:r>
              <w:rPr>
                <w:rFonts w:hint="eastAsia" w:ascii="Times New Roman" w:hAnsi="Times New Roman" w:cs="Times New Roman"/>
                <w:szCs w:val="21"/>
              </w:rPr>
              <w:t>全部在有效期内。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F1B50"/>
    <w:rsid w:val="1AE71C14"/>
    <w:rsid w:val="4F000675"/>
    <w:rsid w:val="537E60E1"/>
    <w:rsid w:val="6BDC0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2020-11-08T06:13:12Z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