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受审核部门：工程部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主管领导：王阿龙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陪同人员：董恒君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李俐   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5.3、6.1.2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OMS：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查，工程部的岗位职责和权限如下：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1）负责根据合同要求进行方案策划、进行维修、咨询和售后服务；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2）负责过程环境、安全管理；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3）负责监视和测量资源的管理；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4）组织落实、监督调控服务过程各项工艺、质量、安全、成本指标等；   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5）负责不合格输出的控制、负责本部门环境因素、危险源的辨识；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6）参与公司组织的应急演习、合规性评价。</w:t>
            </w: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工程部负责人对部门职责清楚。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查工程部的环境安全目标为：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a)固体废弃物分类收集、处理率100%；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b) 杜绝死亡事故和伤亡事故；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c) 火灾事故发生为零。</w:t>
            </w:r>
          </w:p>
          <w:p>
            <w:pPr>
              <w:spacing w:line="360" w:lineRule="auto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查：2019年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月工程部环境和职业健康安全目标完成情况：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a)固体废弃物分类收集、处理率100%；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b) 杜绝死亡事故和伤亡事故；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c) 火灾事故发生为零。</w:t>
            </w:r>
          </w:p>
          <w:p>
            <w:pPr>
              <w:spacing w:line="360" w:lineRule="auto"/>
              <w:ind w:right="-107" w:rightChars="-5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均能达到要求。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</w:t>
            </w:r>
            <w:r>
              <w:rPr>
                <w:rFonts w:hint="eastAsia" w:ascii="宋体" w:hAnsi="宋体" w:cs="宋体"/>
                <w:szCs w:val="21"/>
              </w:rPr>
              <w:t>《环境因素、危险因素的识别与评价》</w:t>
            </w:r>
            <w:r>
              <w:rPr>
                <w:rFonts w:hint="eastAsia" w:ascii="宋体" w:cs="宋体"/>
                <w:szCs w:val="21"/>
              </w:rPr>
              <w:t>，根据不同的时态、状态识别了环境因素，通过对其发生的可能性、危害性等进行评价，工程部确定的重要环境因素有：</w:t>
            </w:r>
            <w:r>
              <w:rPr>
                <w:rFonts w:hint="eastAsia"/>
                <w:szCs w:val="21"/>
              </w:rPr>
              <w:t>固废排放、潜在火灾、噪声排放、废气排放和废水排放</w:t>
            </w:r>
            <w:r>
              <w:rPr>
                <w:rFonts w:hint="eastAsia" w:ascii="宋体" w:cs="宋体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现场查看，工程部的主要工作为</w:t>
            </w:r>
            <w:r>
              <w:rPr>
                <w:rFonts w:hint="eastAsia" w:ascii="宋体" w:hAnsi="宋体"/>
                <w:szCs w:val="21"/>
              </w:rPr>
              <w:t>工程机械维修</w:t>
            </w:r>
            <w:r>
              <w:rPr>
                <w:rFonts w:hint="eastAsia" w:ascii="宋体" w:cs="宋体"/>
                <w:szCs w:val="21"/>
              </w:rPr>
              <w:t>服务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cs="宋体"/>
                <w:szCs w:val="21"/>
              </w:rPr>
              <w:t>为客户提供服务作业过程中有废弃工具、辅料、废油等固废；噪声和废气主要为试机时产生；废水主要为拆卸和清洗产生。部门的环境因素识别和重要环境因素基本到位。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查，工程部经过辨识与评审形成了</w:t>
            </w:r>
            <w:r>
              <w:rPr>
                <w:rFonts w:hint="eastAsia" w:ascii="宋体" w:hAnsi="宋体" w:cs="宋体"/>
                <w:szCs w:val="21"/>
              </w:rPr>
              <w:t>《危险源辨识与风险评价表》，包括电气使用不当造成</w:t>
            </w:r>
            <w:r>
              <w:rPr>
                <w:rFonts w:hint="eastAsia"/>
                <w:szCs w:val="21"/>
              </w:rPr>
              <w:t>火灾</w:t>
            </w:r>
            <w:r>
              <w:rPr>
                <w:rFonts w:hint="eastAsia" w:ascii="宋体" w:hAnsi="宋体" w:cs="宋体"/>
                <w:szCs w:val="21"/>
              </w:rPr>
              <w:t>；员工操作不当造成</w:t>
            </w:r>
            <w:r>
              <w:rPr>
                <w:rFonts w:hint="eastAsia"/>
                <w:szCs w:val="21"/>
              </w:rPr>
              <w:t>机械伤害；维修过程因接触噪声、粉尘和油脂等造成职业危害</w:t>
            </w:r>
            <w:r>
              <w:rPr>
                <w:rFonts w:hint="eastAsia" w:ascii="宋体" w:hAnsi="宋体" w:cs="宋体"/>
                <w:szCs w:val="21"/>
              </w:rPr>
              <w:t>等危险源。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打分法确定不可接受风险：</w:t>
            </w:r>
            <w:r>
              <w:rPr>
                <w:rFonts w:hint="eastAsia"/>
                <w:szCs w:val="21"/>
              </w:rPr>
              <w:t>潜在火灾、机械伤害、职业病（噪声、粉尘等）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安全知识、消防知识宣传、教育及培训；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特种作业人员如电工作业人员须持证上岗；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重点和关键岗位须制定安全操作规程；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张贴安全、防护标志、消防疏散图；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配置消暑药品等；定期安全检查等。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Cs w:val="21"/>
              </w:rPr>
              <w:t>7.4 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9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kern w:val="2"/>
                <w:sz w:val="21"/>
                <w:szCs w:val="21"/>
              </w:rPr>
              <w:t>《信息沟通管理制度》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9"/>
              <w:spacing w:line="360" w:lineRule="auto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>
            <w:pPr>
              <w:pStyle w:val="9"/>
              <w:spacing w:line="360" w:lineRule="auto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外部，对供方和顾客等相关方进行了管理方针、产品使用环保要求的沟通，主要通过网络、交流及产品说明书、合同等方式进行，并达成一致性意见实施有效控制。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60" w:lineRule="auto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查见内部交流主要通过直接面谈、会议、文件、培训方式，外部交流主要通过电话、信函方式。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查见：部门内部会议记录表，沟通信息包括：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1）告知员工：环境管理者代表是郝巧凤、职业健康安全事务代表是刘坤杰。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2）告知员工：环境及职业健康安全管理体系建立的依据、标准和意义，因公司未涉及危化品，故未对全体员工出具告知书；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3）组织员工学习：与环境及安全健康管理有关的法律法规，包括《环境保护法》、《劳动合同法》、《设备安全管理制度》、《工伤保险条例》、《职业病防治法》等关于员工权益、保险等内容；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审核时未发现有相关方投诉和环境安全违规情况发生。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1080"/>
              </w:tabs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 xml:space="preserve">    在工程部查看，提供有</w:t>
            </w:r>
            <w:r>
              <w:rPr>
                <w:rFonts w:hint="eastAsia" w:ascii="宋体" w:hAnsi="宋体"/>
                <w:szCs w:val="21"/>
              </w:rPr>
              <w:t>工程机械、发电机组设备的维修服务、相应的技术咨询及售后服务相关服务</w:t>
            </w:r>
            <w:r>
              <w:rPr>
                <w:rFonts w:hint="eastAsia"/>
                <w:bCs/>
                <w:szCs w:val="21"/>
              </w:rPr>
              <w:t>的合同资料、</w:t>
            </w:r>
            <w:r>
              <w:rPr>
                <w:rFonts w:hint="eastAsia"/>
                <w:bCs/>
                <w:szCs w:val="21"/>
                <w:lang w:val="en-US" w:eastAsia="zh-CN"/>
              </w:rPr>
              <w:t>维修报告</w:t>
            </w:r>
            <w:r>
              <w:rPr>
                <w:rFonts w:hint="eastAsia"/>
                <w:bCs/>
                <w:szCs w:val="21"/>
              </w:rPr>
              <w:t>等，具体见销售部，其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认证范围处于正常经营情况。</w:t>
            </w:r>
          </w:p>
          <w:p>
            <w:pPr>
              <w:tabs>
                <w:tab w:val="left" w:pos="1080"/>
              </w:tabs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在工程部现场查看，工程部重要环境因素有：</w:t>
            </w:r>
            <w:r>
              <w:rPr>
                <w:rFonts w:hint="eastAsia"/>
                <w:szCs w:val="21"/>
              </w:rPr>
              <w:t>固废排放、潜在火灾、噪声排放、废气排放、废水排放。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工程部根据部门的重要环境因素，策划的环境管理制度有：</w:t>
            </w:r>
            <w:r>
              <w:rPr>
                <w:rFonts w:hint="eastAsia" w:ascii="宋体" w:hAnsi="宋体" w:cs="Arial"/>
                <w:iCs/>
                <w:szCs w:val="21"/>
              </w:rPr>
              <w:t>《应急准备和响应管理制度》、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《监视、测量、分析和评价管理制度》、</w:t>
            </w:r>
            <w:r>
              <w:rPr>
                <w:rFonts w:hint="eastAsia" w:ascii="宋体" w:hAnsi="宋体" w:cs="Arial"/>
                <w:iCs/>
                <w:szCs w:val="21"/>
              </w:rPr>
              <w:t>《消防安全管理制度》、《火灾应急措施》等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现场查看，部门的服务内容主要有：</w:t>
            </w:r>
            <w:r>
              <w:rPr>
                <w:rFonts w:hint="eastAsia" w:ascii="宋体" w:hAnsi="宋体"/>
                <w:szCs w:val="21"/>
              </w:rPr>
              <w:t>工程机械、发电机组设备的维修服务、相应的技术咨询及售后服务，主要为CAT授权工程机械、发电机组设备的维修。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1、固废排放管理：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公司编制了《固体废弃物管理规定》，规定了办公和服务实施过程固废处理的管理要求。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查，办公环节的主要固废为：废纸、废办公用品、以及生活垃圾等。现采取集中收集，交由环卫处理。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在办公公共区域、市场楼层面内垃圾桶标识明确。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工程机械、发电机组设备的维修服务实施过程的固废有：包装、废弃部件、废油等。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现场查看，在维修现场，废油集中存放在放油桶内，每半年或1年处理一次（交与有资质的公司），含油废物也是集中存放，定期交与有资质公司处理。查处理情况，签订有处理协议，提供最近的处理记录：提供20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年6月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18日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处理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油抹布、油壶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的《危险废物转移联单》，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共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0.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03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吨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年6月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18日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处理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废矿物油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的《危险废物转移联单》，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共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0.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吨具体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如下</w:t>
            </w:r>
            <w:r>
              <w:rPr>
                <w:rFonts w:hint="eastAsia" w:ascii="宋体"/>
                <w:kern w:val="0"/>
                <w:szCs w:val="21"/>
              </w:rPr>
              <w:t xml:space="preserve"> 。在维修车间查看废物收集管理，普通废物与含油棉纱和纸张混放，也没做标识。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2778125" cy="4149725"/>
                  <wp:effectExtent l="0" t="0" r="3175" b="3175"/>
                  <wp:docPr id="4" name="图片 4" descr="3b1f0453032da8a16619a864508dd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b1f0453032da8a16619a864508dd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125" cy="414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eastAsia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2863850" cy="4140200"/>
                  <wp:effectExtent l="0" t="0" r="6350" b="0"/>
                  <wp:docPr id="5" name="图片 5" descr="0a0e172fae10cb2d4b1eab5162aeb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a0e172fae10cb2d4b1eab5162aeb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414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</w:rPr>
              <w:t>火灾预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防：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查看，公司编制了火灾预防管理规定、应急管理规定。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查看，共用区域、办公楼层设置了消防栓、灭火器、应急报警器等，设施状态良好。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现场查看,消防设施配置完整，完好。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公司定期参加组织的消防培训和演练，工程部主要岗位均参与。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3、废水排放：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查看，现场废水排放主要为清洗设备产生的废水，采取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一体化污水处理设备</w:t>
            </w:r>
            <w:r>
              <w:rPr>
                <w:rFonts w:hint="eastAsia" w:ascii="宋体" w:hAnsi="宋体"/>
                <w:szCs w:val="21"/>
              </w:rPr>
              <w:t>后后排向物流园区下水道，排放标准DB61/224-2011《黄河流域（陕西段）污水综合排放标准》中表2二级标准，查排放达标情况，提供有20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月检测报告，报告编号：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AEE200804041</w:t>
            </w:r>
            <w:r>
              <w:rPr>
                <w:rFonts w:hint="eastAsia" w:ascii="宋体" w:hAnsi="宋体"/>
                <w:szCs w:val="21"/>
              </w:rPr>
              <w:t>,排放达到标准要求</w:t>
            </w:r>
            <w:r>
              <w:rPr>
                <w:rFonts w:hint="eastAsia" w:ascii="宋体"/>
                <w:color w:val="0000FF"/>
                <w:kern w:val="0"/>
                <w:szCs w:val="21"/>
              </w:rPr>
              <w:t>。</w:t>
            </w:r>
            <w:r>
              <w:rPr>
                <w:rFonts w:hint="eastAsia" w:ascii="宋体"/>
                <w:color w:val="auto"/>
                <w:kern w:val="0"/>
                <w:szCs w:val="21"/>
              </w:rPr>
              <w:t>具体见附件</w:t>
            </w: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 xml:space="preserve">: 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FF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2886710" cy="4157345"/>
                  <wp:effectExtent l="0" t="0" r="8890" b="8255"/>
                  <wp:docPr id="2" name="图片 2" descr="9bf9f5508851038150d765a6af8ae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f9f5508851038150d765a6af8ae8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10" cy="415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/>
                <w:color w:val="0000FF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2624455" cy="4158615"/>
                  <wp:effectExtent l="0" t="0" r="4445" b="6985"/>
                  <wp:docPr id="3" name="图片 3" descr="26bc1889fe03bf16697473d6b2b5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bc1889fe03bf16697473d6b2b5d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55" cy="415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atLeast"/>
              <w:ind w:firstLine="420" w:firstLineChars="200"/>
              <w:rPr>
                <w:rFonts w:hint="default" w:asci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废水处理设备和运行记录：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color w:val="0000FF"/>
                <w:kern w:val="0"/>
                <w:szCs w:val="21"/>
                <w:lang w:val="en-US" w:eastAsia="zh-CN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color w:val="0000FF"/>
                <w:kern w:val="0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177800</wp:posOffset>
                  </wp:positionV>
                  <wp:extent cx="2659380" cy="3546475"/>
                  <wp:effectExtent l="0" t="0" r="7620" b="9525"/>
                  <wp:wrapNone/>
                  <wp:docPr id="9" name="图片 9" descr="d6e7b240ee35d93dad4b54560ebb3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e7b240ee35d93dad4b54560ebb3d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354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color w:val="0000FF"/>
                <w:kern w:val="0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143510</wp:posOffset>
                  </wp:positionV>
                  <wp:extent cx="3110865" cy="2406015"/>
                  <wp:effectExtent l="0" t="0" r="635" b="6985"/>
                  <wp:wrapNone/>
                  <wp:docPr id="15" name="图片 15" descr="551c3ab3ede0f4fe3ee6eb512996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51c3ab3ede0f4fe3ee6eb5129964c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009" r="8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865" cy="240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4、废气、噪声排放：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查，废气、噪声主要为</w:t>
            </w:r>
            <w:r>
              <w:rPr>
                <w:rFonts w:hint="eastAsia"/>
                <w:bCs/>
                <w:szCs w:val="21"/>
              </w:rPr>
              <w:t>维修服务后试机产生</w:t>
            </w:r>
            <w:r>
              <w:rPr>
                <w:rFonts w:hint="eastAsia" w:ascii="宋体" w:hAnsi="宋体"/>
                <w:szCs w:val="21"/>
              </w:rPr>
              <w:t>，该发生源不是一直产生，一个月只有几次，主要在维修区内，废气通过无组织排放，厂界外噪声较小，处于客户可控范围内，不允许在夜间进行试机。现场查看暂未进行试机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对于相关方环境影响，公司的主要环境管理相关方有：业主、外来人员。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工程部环境控制措施基本与管理要求基本一致，基本符合管理要求。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现场查看，工程部的不可接受风险为：</w:t>
            </w:r>
            <w:r>
              <w:rPr>
                <w:rFonts w:hint="eastAsia"/>
                <w:szCs w:val="21"/>
              </w:rPr>
              <w:t>潜在火灾、机械伤害、职业病（粉尘、噪声）等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工程部制订了相关的危险源防护、管理措施，如《现场维修服务应急救援预案》、《设备操作规程》等：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1、触电风险管理：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现场能提供三级安全培训记录，</w:t>
            </w:r>
            <w:r>
              <w:rPr>
                <w:rFonts w:hint="eastAsia" w:ascii="宋体" w:hAnsi="宋体"/>
                <w:color w:val="auto"/>
                <w:szCs w:val="21"/>
              </w:rPr>
              <w:t>电工都是持证上岗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维修场地</w:t>
            </w:r>
            <w:r>
              <w:rPr>
                <w:rFonts w:hint="eastAsia" w:ascii="宋体" w:hAnsi="宋体"/>
                <w:szCs w:val="21"/>
              </w:rPr>
              <w:t>的电器设备、电缆、配电设施完好，设置规范，无不符合情况。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2、火灾伤害预防：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现场了解：公司制订了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火灾预防管理规定、应急管理规定。在楼层、及公共场所均设置了消防栓、灭火器、消费通道、楼梯、消费报警器、应急疏散指示灯等。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查，工程部员工定期参加行政部的消防、应急、逃生培训和演习。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现场查看，公司办公地点楼层，消防逃生通道畅通，办公室设置了烟雾感应器，现场打开消防栓，能供水，压力明显。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现场查看，火灾伤害预防管理基本符合要求。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/>
                <w:szCs w:val="21"/>
              </w:rPr>
              <w:t>机械伤害</w:t>
            </w:r>
            <w:r>
              <w:rPr>
                <w:rFonts w:hint="eastAsia" w:ascii="宋体" w:hAnsi="宋体"/>
                <w:szCs w:val="21"/>
              </w:rPr>
              <w:t>管理：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现场了解：公司制订了人员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防护管理规定、应急管理规定。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查，工程部员工定期参加操作规程的培训。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现场查看，员工操作符合要求。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现场查看，配置了必备的应急药品，如创口贴、急救包等。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在维修现场，维修处设置有安全警示标识，设备吊装处人员都佩戴有安全帽。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4、查现场职业病预防管理：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主要为维修服务过程对粉尘、噪声的防护。在清洁、拆卸、试机环节都采取口罩的方式进行防护粉尘和废气。试机时员工必须佩戴耳塞，控制噪声对身体的影响。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现场查看，在设备拆卸处员工均佩戴口罩等措施，避免操作中吸入粉尘伤害伤害。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N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E8.2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查见：《应急准备和响应程序》、《消防与疏散演习实施方案》</w:t>
            </w:r>
          </w:p>
          <w:p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工程部人员在行政部组织下，参加了公司组织的“火灾消防知识培训”。</w:t>
            </w:r>
          </w:p>
          <w:p>
            <w:pPr>
              <w:spacing w:line="360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查见：消防演练实况记录：工程部相关人员参加了20</w:t>
            </w:r>
            <w:r>
              <w:rPr>
                <w:rFonts w:hint="eastAsia" w:cs="宋体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szCs w:val="21"/>
              </w:rPr>
              <w:t>年3月2</w:t>
            </w:r>
            <w:r>
              <w:rPr>
                <w:rFonts w:hint="eastAsia" w:cs="宋体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szCs w:val="21"/>
              </w:rPr>
              <w:t>日在公司由行政部组织的火灾消防演练。</w:t>
            </w:r>
          </w:p>
          <w:p>
            <w:pPr>
              <w:spacing w:line="360" w:lineRule="auto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查，现场对应，公司员工的安全逃生意识有明显的改善和较大提高。使员工掌握了安全逃生的方式和路径。同时使员工掌握了灭火器材的使用。消防器材完善、良好。</w:t>
            </w:r>
          </w:p>
          <w:p>
            <w:pPr>
              <w:spacing w:line="360" w:lineRule="auto"/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3057525" cy="2292985"/>
                  <wp:effectExtent l="0" t="0" r="3175" b="5715"/>
                  <wp:docPr id="7" name="图片 7" descr="555d919fe59e13e68f3ba5a185027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55d919fe59e13e68f3ba5a1850277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3089275" cy="2317115"/>
                  <wp:effectExtent l="0" t="0" r="9525" b="6985"/>
                  <wp:docPr id="8" name="图片 8" descr="3481c95d17ebc509664686d3b699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481c95d17ebc509664686d3b699c6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75" cy="231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/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40207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32216DA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5C1DB5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C636052"/>
    <w:rsid w:val="4D1C333A"/>
    <w:rsid w:val="4D5A3A3A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EA72BB"/>
    <w:rsid w:val="55DA0FDB"/>
    <w:rsid w:val="55F91CC3"/>
    <w:rsid w:val="56047B5D"/>
    <w:rsid w:val="561513C9"/>
    <w:rsid w:val="567C45F7"/>
    <w:rsid w:val="56E800CA"/>
    <w:rsid w:val="57627A71"/>
    <w:rsid w:val="578541BD"/>
    <w:rsid w:val="58492CD1"/>
    <w:rsid w:val="58960553"/>
    <w:rsid w:val="58C94867"/>
    <w:rsid w:val="58D02612"/>
    <w:rsid w:val="5945731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9D00F8"/>
    <w:rsid w:val="5F9D03C5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AD1FEB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5">
    <w:name w:val="Plain Text"/>
    <w:basedOn w:val="1"/>
    <w:link w:val="20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纯文本 Char"/>
    <w:basedOn w:val="11"/>
    <w:link w:val="5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3</TotalTime>
  <ScaleCrop>false</ScaleCrop>
  <LinksUpToDate>false</LinksUpToDate>
  <CharactersWithSpaces>19324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2020-11-19T08:25:09Z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