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2"/>
      </w:pPr>
    </w:p>
    <w:p>
      <w:pPr>
        <w:pStyle w:val="2"/>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过程与活动、</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抽样计划</w:t>
            </w:r>
          </w:p>
        </w:tc>
        <w:tc>
          <w:tcPr>
            <w:tcW w:w="960" w:type="dxa"/>
            <w:vMerge w:val="restart"/>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涉及</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条款</w:t>
            </w:r>
          </w:p>
        </w:tc>
        <w:tc>
          <w:tcPr>
            <w:tcW w:w="10755"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受审核部门：生产部   主管领导：</w:t>
            </w:r>
            <w:r>
              <w:rPr>
                <w:rFonts w:hint="eastAsia"/>
              </w:rPr>
              <w:t>黄海祥</w:t>
            </w:r>
            <w:r>
              <w:rPr>
                <w:rFonts w:hint="eastAsia" w:ascii="宋体" w:hAnsi="宋体" w:eastAsia="宋体" w:cs="Times New Roman"/>
                <w:color w:val="auto"/>
                <w:kern w:val="2"/>
                <w:sz w:val="18"/>
                <w:szCs w:val="22"/>
                <w:lang w:val="en-US" w:eastAsia="zh-CN" w:bidi="ar-SA"/>
              </w:rPr>
              <w:t xml:space="preserve">    陪同人员：</w:t>
            </w:r>
            <w:r>
              <w:rPr>
                <w:rFonts w:hint="eastAsia"/>
              </w:rPr>
              <w:t>李黄水</w:t>
            </w:r>
          </w:p>
        </w:tc>
        <w:tc>
          <w:tcPr>
            <w:tcW w:w="8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960" w:type="dxa"/>
            <w:vMerge w:val="continue"/>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vAlign w:val="center"/>
          </w:tcPr>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审核员：李京田     审核时间：2020.</w:t>
            </w:r>
            <w:r>
              <w:rPr>
                <w:rFonts w:hint="eastAsia" w:ascii="宋体" w:hAnsi="宋体" w:cs="Times New Roman"/>
                <w:color w:val="auto"/>
                <w:kern w:val="2"/>
                <w:sz w:val="18"/>
                <w:szCs w:val="22"/>
                <w:lang w:val="en-US" w:eastAsia="zh-CN" w:bidi="ar-SA"/>
              </w:rPr>
              <w:t>11.5</w:t>
            </w: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960" w:type="dxa"/>
            <w:vMerge w:val="continue"/>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审核条款：</w:t>
            </w: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组织的岗位、职责权限</w:t>
            </w:r>
          </w:p>
        </w:tc>
        <w:tc>
          <w:tcPr>
            <w:tcW w:w="960"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QS5.3</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生产</w:t>
            </w:r>
            <w:r>
              <w:rPr>
                <w:rFonts w:hint="eastAsia" w:ascii="宋体" w:hAnsi="宋体" w:eastAsia="宋体" w:cs="Times New Roman"/>
                <w:color w:val="auto"/>
                <w:kern w:val="2"/>
                <w:sz w:val="18"/>
                <w:szCs w:val="22"/>
                <w:lang w:val="en-US" w:eastAsia="zh-CN" w:bidi="ar-SA"/>
              </w:rPr>
              <w:t>部负责人：</w:t>
            </w:r>
            <w:r>
              <w:rPr>
                <w:rFonts w:hint="eastAsia"/>
                <w:color w:val="auto"/>
              </w:rPr>
              <w:t>黄海祥</w:t>
            </w:r>
            <w:r>
              <w:rPr>
                <w:rFonts w:hint="eastAsia" w:ascii="宋体" w:hAnsi="宋体" w:eastAsia="宋体" w:cs="Times New Roman"/>
                <w:color w:val="auto"/>
                <w:kern w:val="2"/>
                <w:sz w:val="18"/>
                <w:szCs w:val="22"/>
                <w:lang w:val="en-US" w:eastAsia="zh-CN" w:bidi="ar-SA"/>
              </w:rPr>
              <w:t xml:space="preserve"> </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负责</w:t>
            </w:r>
            <w:r>
              <w:rPr>
                <w:rFonts w:hint="eastAsia" w:ascii="宋体" w:hAnsi="宋体" w:cs="Times New Roman"/>
                <w:color w:val="auto"/>
                <w:kern w:val="2"/>
                <w:sz w:val="18"/>
                <w:szCs w:val="22"/>
                <w:lang w:val="en-US" w:eastAsia="zh-CN" w:bidi="ar-SA"/>
              </w:rPr>
              <w:t>生产计划</w:t>
            </w:r>
            <w:r>
              <w:rPr>
                <w:rFonts w:hint="eastAsia" w:ascii="宋体" w:hAnsi="宋体" w:eastAsia="宋体" w:cs="Times New Roman"/>
                <w:color w:val="auto"/>
                <w:kern w:val="2"/>
                <w:sz w:val="18"/>
                <w:szCs w:val="22"/>
                <w:lang w:val="en-US" w:eastAsia="zh-CN" w:bidi="ar-SA"/>
              </w:rPr>
              <w:t>，</w:t>
            </w:r>
            <w:r>
              <w:rPr>
                <w:rFonts w:hint="eastAsia" w:ascii="宋体" w:hAnsi="宋体" w:cs="Times New Roman"/>
                <w:color w:val="auto"/>
                <w:kern w:val="2"/>
                <w:sz w:val="18"/>
                <w:szCs w:val="22"/>
                <w:lang w:val="en-US" w:eastAsia="zh-CN" w:bidi="ar-SA"/>
              </w:rPr>
              <w:t>安装图纸进行加工，同时</w:t>
            </w:r>
            <w:r>
              <w:rPr>
                <w:rFonts w:hint="eastAsia" w:ascii="宋体" w:hAnsi="宋体" w:eastAsia="宋体" w:cs="Times New Roman"/>
                <w:color w:val="auto"/>
                <w:kern w:val="2"/>
                <w:sz w:val="18"/>
                <w:szCs w:val="22"/>
                <w:lang w:val="en-US" w:eastAsia="zh-CN" w:bidi="ar-SA"/>
              </w:rPr>
              <w:t>工艺文件的制作及修改；</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负责生产加工设备的维护；</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负责产品质量的控制；</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负责本部门</w:t>
            </w:r>
            <w:r>
              <w:rPr>
                <w:rFonts w:hint="eastAsia" w:ascii="宋体" w:hAnsi="宋体" w:cs="Times New Roman"/>
                <w:color w:val="auto"/>
                <w:kern w:val="2"/>
                <w:sz w:val="18"/>
                <w:szCs w:val="22"/>
                <w:lang w:val="en-US" w:eastAsia="zh-CN" w:bidi="ar-SA"/>
              </w:rPr>
              <w:t>危险源</w:t>
            </w:r>
            <w:r>
              <w:rPr>
                <w:rFonts w:hint="eastAsia" w:ascii="宋体" w:hAnsi="宋体" w:eastAsia="宋体" w:cs="Times New Roman"/>
                <w:color w:val="auto"/>
                <w:kern w:val="2"/>
                <w:sz w:val="18"/>
                <w:szCs w:val="22"/>
                <w:lang w:val="en-US" w:eastAsia="zh-CN" w:bidi="ar-SA"/>
              </w:rPr>
              <w:t>的</w:t>
            </w:r>
            <w:r>
              <w:rPr>
                <w:rFonts w:hint="eastAsia" w:ascii="宋体" w:hAnsi="宋体" w:cs="Times New Roman"/>
                <w:color w:val="auto"/>
                <w:kern w:val="2"/>
                <w:sz w:val="18"/>
                <w:szCs w:val="22"/>
                <w:lang w:val="en-US" w:eastAsia="zh-CN" w:bidi="ar-SA"/>
              </w:rPr>
              <w:t>辨识</w:t>
            </w:r>
            <w:r>
              <w:rPr>
                <w:rFonts w:hint="eastAsia" w:ascii="宋体" w:hAnsi="宋体" w:eastAsia="宋体" w:cs="Times New Roman"/>
                <w:color w:val="auto"/>
                <w:kern w:val="2"/>
                <w:sz w:val="18"/>
                <w:szCs w:val="22"/>
                <w:lang w:val="en-US" w:eastAsia="zh-CN" w:bidi="ar-SA"/>
              </w:rPr>
              <w:t>；</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负责运生产加工过程安全控制。</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部门人员能够清楚自己部门的职责，沟通顺畅。</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目标和方案</w:t>
            </w:r>
          </w:p>
        </w:tc>
        <w:tc>
          <w:tcPr>
            <w:tcW w:w="960"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QS6.2</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执行《管理手册》及《方针目标管理制度》</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部门目标：                        </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生产设备正常运转率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95%</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生产计划完成及时率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100%</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产品交付合格率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100%</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火灾爆炸事故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触电事故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重大责任交通事故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死亡及重伤事故为0，轻伤事故≦2起/年</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提供目标完成情况考核记录，考核时间2020年第一、二季度目标均完成</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提供有安全管理方案，可行</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危险源</w:t>
            </w:r>
            <w:r>
              <w:rPr>
                <w:rFonts w:hint="eastAsia" w:ascii="宋体" w:hAnsi="宋体" w:cs="Times New Roman"/>
                <w:color w:val="auto"/>
                <w:kern w:val="2"/>
                <w:sz w:val="18"/>
                <w:szCs w:val="22"/>
                <w:lang w:val="en-US" w:eastAsia="zh-CN" w:bidi="ar-SA"/>
              </w:rPr>
              <w:t>辨识</w:t>
            </w:r>
          </w:p>
        </w:tc>
        <w:tc>
          <w:tcPr>
            <w:tcW w:w="960"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S</w:t>
            </w:r>
            <w:r>
              <w:rPr>
                <w:rFonts w:hint="eastAsia" w:ascii="宋体" w:hAnsi="宋体" w:eastAsia="宋体" w:cs="Times New Roman"/>
                <w:color w:val="auto"/>
                <w:kern w:val="2"/>
                <w:sz w:val="18"/>
                <w:szCs w:val="22"/>
                <w:lang w:val="en-US" w:eastAsia="zh-CN" w:bidi="ar-SA"/>
              </w:rPr>
              <w:t>6.1.2</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编制了《危险源辩识、风险评价和风险控制策划程序》符合标准要求.</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提供的：“危险源识别与风险评价表”、“不可接受风险源清单”， 评价考虑了将来、状态、可能导致的事件，并进行了评价，用打分法考虑了法规符合性、发生频次、影响范围等, 通过是非法，本部门识别的各区域危险源有：触电、意外伤害、职业病、火灾、机械伤害等。不可接受风险识别有：火灾、意外伤害、触电</w:t>
            </w:r>
            <w:r>
              <w:rPr>
                <w:rFonts w:hint="eastAsia" w:ascii="宋体" w:hAnsi="宋体" w:cs="Times New Roman"/>
                <w:color w:val="auto"/>
                <w:kern w:val="2"/>
                <w:sz w:val="18"/>
                <w:szCs w:val="22"/>
                <w:lang w:val="en-US" w:eastAsia="zh-CN" w:bidi="ar-SA"/>
              </w:rPr>
              <w:t>、机械伤害</w:t>
            </w:r>
            <w:r>
              <w:rPr>
                <w:rFonts w:hint="eastAsia" w:ascii="宋体" w:hAnsi="宋体" w:eastAsia="宋体" w:cs="Times New Roman"/>
                <w:color w:val="auto"/>
                <w:kern w:val="2"/>
                <w:sz w:val="18"/>
                <w:szCs w:val="22"/>
                <w:lang w:val="en-US" w:eastAsia="zh-CN" w:bidi="ar-SA"/>
              </w:rPr>
              <w:t>。评价符合程序要求及公司的实际情况。对危险源的控制措施包括制定管理制度、监督检查、应急预案、培训等。</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60"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组织的知识</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960"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Q7.1.6</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10755"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公司确定运行过程所需的知识，内部来源包括公司运作准则（管理制度、工作记录等）、专业技术应用、项目管理等。外部来源包括外来资料如法律法规、市场信息等。</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对知识的保持采取文件资料的保存和信息系统存储方式，在公司内部可通过传递、交流、培训等方式获取。</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为获取更多必要的知识采用工作经验总结、专家、顾客意见的采集，技术动态的跟踪，行业领先者的最佳实践调查等。</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运行策划和控制</w:t>
            </w:r>
          </w:p>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p>
          <w:p>
            <w:pPr>
              <w:spacing w:line="360" w:lineRule="auto"/>
              <w:ind w:firstLine="180" w:firstLineChars="100"/>
              <w:rPr>
                <w:rFonts w:hint="eastAsia" w:ascii="宋体" w:hAnsi="宋体" w:eastAsia="宋体" w:cs="Times New Roman"/>
                <w:color w:val="auto"/>
                <w:kern w:val="2"/>
                <w:sz w:val="18"/>
                <w:szCs w:val="22"/>
                <w:lang w:val="en-US" w:eastAsia="zh-CN" w:bidi="ar-SA"/>
              </w:rPr>
            </w:pPr>
          </w:p>
        </w:tc>
        <w:tc>
          <w:tcPr>
            <w:tcW w:w="960" w:type="dxa"/>
            <w:vAlign w:val="center"/>
          </w:tcPr>
          <w:p>
            <w:pPr>
              <w:spacing w:line="360" w:lineRule="auto"/>
              <w:ind w:firstLine="210" w:firstLineChars="100"/>
              <w:rPr>
                <w:rFonts w:hint="eastAsia"/>
                <w:lang w:val="en-US" w:eastAsia="zh-CN"/>
              </w:rPr>
            </w:pPr>
            <w:r>
              <w:rPr>
                <w:rFonts w:hint="eastAsia"/>
                <w:lang w:val="en-US" w:eastAsia="zh-CN"/>
              </w:rPr>
              <w:t>Q8.1</w:t>
            </w:r>
          </w:p>
          <w:p>
            <w:pPr>
              <w:pStyle w:val="2"/>
              <w:ind w:firstLine="200" w:firstLineChars="100"/>
              <w:rPr>
                <w:rFonts w:hint="default"/>
                <w:lang w:val="en-US" w:eastAsia="zh-CN"/>
              </w:rPr>
            </w:pPr>
            <w:r>
              <w:rPr>
                <w:rFonts w:hint="eastAsia" w:ascii="宋体" w:hAnsi="宋体" w:cs="Times New Roman"/>
                <w:color w:val="auto"/>
                <w:kern w:val="2"/>
                <w:sz w:val="18"/>
                <w:szCs w:val="22"/>
                <w:lang w:val="en-US" w:eastAsia="zh-CN" w:bidi="ar-SA"/>
              </w:rPr>
              <w:t>Q8.5</w:t>
            </w:r>
          </w:p>
        </w:tc>
        <w:tc>
          <w:tcPr>
            <w:tcW w:w="10755" w:type="dxa"/>
            <w:vAlign w:val="center"/>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范围： </w:t>
            </w:r>
            <w:r>
              <w:rPr>
                <w:rFonts w:hint="eastAsia" w:ascii="宋体" w:hAnsi="宋体"/>
                <w:szCs w:val="21"/>
              </w:rPr>
              <w:t>一般机械零部件的加工</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1、提供有管理目标：</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生产设备正常运转率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95%</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生产计划完成及时率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100%</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产品交付合格率</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100%</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火灾爆炸事故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触电事故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重大责任交通事故</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0发生</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死亡及重伤事故为0，轻伤事故≦2起/年</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2.提供了《合同评审控制程序》、《</w:t>
            </w:r>
            <w:r>
              <w:rPr>
                <w:rFonts w:hint="eastAsia" w:ascii="宋体" w:hAnsi="宋体" w:cs="Times New Roman"/>
                <w:color w:val="auto"/>
                <w:kern w:val="2"/>
                <w:sz w:val="18"/>
                <w:szCs w:val="22"/>
                <w:lang w:val="en-US" w:eastAsia="zh-CN" w:bidi="ar-SA"/>
              </w:rPr>
              <w:t>生产服务提供控制程序</w:t>
            </w:r>
            <w:r>
              <w:rPr>
                <w:rFonts w:hint="eastAsia" w:ascii="宋体" w:hAnsi="宋体" w:eastAsia="宋体" w:cs="Times New Roman"/>
                <w:color w:val="auto"/>
                <w:kern w:val="2"/>
                <w:sz w:val="18"/>
                <w:szCs w:val="22"/>
                <w:lang w:val="en-US" w:eastAsia="zh-CN" w:bidi="ar-SA"/>
              </w:rPr>
              <w:t>》、《</w:t>
            </w:r>
            <w:r>
              <w:rPr>
                <w:rFonts w:hint="eastAsia" w:ascii="宋体" w:hAnsi="宋体" w:cs="Times New Roman"/>
                <w:color w:val="auto"/>
                <w:kern w:val="2"/>
                <w:sz w:val="18"/>
                <w:szCs w:val="22"/>
                <w:lang w:val="en-US" w:eastAsia="zh-CN" w:bidi="ar-SA"/>
              </w:rPr>
              <w:t>机械加工</w:t>
            </w:r>
            <w:r>
              <w:rPr>
                <w:rFonts w:hint="eastAsia" w:ascii="宋体" w:hAnsi="宋体" w:eastAsia="宋体" w:cs="Times New Roman"/>
                <w:color w:val="auto"/>
                <w:kern w:val="2"/>
                <w:sz w:val="18"/>
                <w:szCs w:val="22"/>
                <w:lang w:val="en-US" w:eastAsia="zh-CN" w:bidi="ar-SA"/>
              </w:rPr>
              <w:t>作业指导书》、《</w:t>
            </w:r>
            <w:r>
              <w:rPr>
                <w:rFonts w:hint="eastAsia" w:ascii="宋体" w:hAnsi="宋体" w:cs="Times New Roman"/>
                <w:color w:val="auto"/>
                <w:kern w:val="2"/>
                <w:sz w:val="18"/>
                <w:szCs w:val="22"/>
                <w:lang w:val="en-US" w:eastAsia="zh-CN" w:bidi="ar-SA"/>
              </w:rPr>
              <w:t>机械加工工艺</w:t>
            </w:r>
            <w:r>
              <w:rPr>
                <w:rFonts w:hint="eastAsia" w:ascii="宋体" w:hAnsi="宋体" w:eastAsia="宋体" w:cs="Times New Roman"/>
                <w:color w:val="auto"/>
                <w:kern w:val="2"/>
                <w:sz w:val="18"/>
                <w:szCs w:val="22"/>
                <w:lang w:val="en-US" w:eastAsia="zh-CN" w:bidi="ar-SA"/>
              </w:rPr>
              <w:t>》对</w:t>
            </w:r>
            <w:r>
              <w:rPr>
                <w:rFonts w:hint="eastAsia" w:ascii="宋体" w:hAnsi="宋体" w:cs="Times New Roman"/>
                <w:color w:val="auto"/>
                <w:kern w:val="2"/>
                <w:sz w:val="18"/>
                <w:szCs w:val="22"/>
                <w:lang w:val="en-US" w:eastAsia="zh-CN" w:bidi="ar-SA"/>
              </w:rPr>
              <w:t>一般机械零部件的加工</w:t>
            </w:r>
            <w:r>
              <w:rPr>
                <w:rFonts w:hint="eastAsia" w:ascii="宋体" w:hAnsi="宋体" w:eastAsia="宋体" w:cs="Times New Roman"/>
                <w:color w:val="auto"/>
                <w:kern w:val="2"/>
                <w:sz w:val="18"/>
                <w:szCs w:val="22"/>
                <w:lang w:val="en-US" w:eastAsia="zh-CN" w:bidi="ar-SA"/>
              </w:rPr>
              <w:t>应进行质量策划，质量目标已达到顾客要求；</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执行标准：</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未注尺寸公差GB/T 1804-2000、</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GB/T 25376-2010</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金属切削机床 机械加工件通用技术条件</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机械加工工艺装备基本术语GB/T 1008-2008、</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机械加工定位、夹紧符号JB/T 5061-2006、</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械加工工艺守则JB/T 9168-2006、</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产品几何技术规范（GPS) 表面结构 轮廓法 表面粗糙度参数及其数值GB/T 1031-2009</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金属切削机床 机械加工件通用技术条件   JB/T 9872-1999</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JB/T 12392-2015</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机械加工工艺参数表示法</w:t>
            </w:r>
            <w:r>
              <w:rPr>
                <w:rFonts w:hint="eastAsia" w:ascii="宋体" w:hAnsi="宋体" w:eastAsia="宋体" w:cs="Times New Roman"/>
                <w:color w:val="auto"/>
                <w:kern w:val="2"/>
                <w:sz w:val="18"/>
                <w:szCs w:val="22"/>
                <w:lang w:val="en-US" w:eastAsia="zh-CN" w:bidi="ar-SA"/>
              </w:rPr>
              <w:tab/>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JB/T 12393-2015</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机械加工工艺方法图形符号</w:t>
            </w:r>
            <w:r>
              <w:rPr>
                <w:rFonts w:hint="eastAsia" w:ascii="宋体" w:hAnsi="宋体" w:eastAsia="宋体" w:cs="Times New Roman"/>
                <w:color w:val="auto"/>
                <w:kern w:val="2"/>
                <w:sz w:val="18"/>
                <w:szCs w:val="22"/>
                <w:lang w:val="en-US" w:eastAsia="zh-CN" w:bidi="ar-SA"/>
              </w:rPr>
              <w:tab/>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JB/T 12394-2015</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机械加工工艺信息三维标注规范</w:t>
            </w:r>
            <w:r>
              <w:rPr>
                <w:rFonts w:hint="eastAsia" w:ascii="宋体" w:hAnsi="宋体" w:eastAsia="宋体" w:cs="Times New Roman"/>
                <w:color w:val="auto"/>
                <w:kern w:val="2"/>
                <w:sz w:val="18"/>
                <w:szCs w:val="22"/>
                <w:lang w:val="en-US" w:eastAsia="zh-CN" w:bidi="ar-SA"/>
              </w:rPr>
              <w:tab/>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JB/T 5061-2006</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机械加工定位、夹紧符号</w:t>
            </w:r>
            <w:r>
              <w:rPr>
                <w:rFonts w:hint="eastAsia" w:ascii="宋体" w:hAnsi="宋体" w:eastAsia="宋体" w:cs="Times New Roman"/>
                <w:color w:val="auto"/>
                <w:kern w:val="2"/>
                <w:sz w:val="18"/>
                <w:szCs w:val="22"/>
                <w:lang w:val="en-US" w:eastAsia="zh-CN" w:bidi="ar-SA"/>
              </w:rPr>
              <w:tab/>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JB/T 5936-2018</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 xml:space="preserve"> 工程机械 机械加工件通用技术条件</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产品流程：</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一般机械零部</w:t>
            </w:r>
            <w:r>
              <w:rPr>
                <w:rFonts w:hint="eastAsia" w:ascii="宋体" w:hAnsi="宋体" w:eastAsia="宋体" w:cs="Times New Roman"/>
                <w:color w:val="auto"/>
                <w:kern w:val="2"/>
                <w:sz w:val="18"/>
                <w:szCs w:val="22"/>
                <w:lang w:val="en-US" w:eastAsia="zh-CN" w:bidi="ar-SA"/>
              </w:rPr>
              <w:t>件</w:t>
            </w:r>
            <w:r>
              <w:rPr>
                <w:rFonts w:hint="eastAsia" w:ascii="宋体" w:hAnsi="宋体" w:cs="Times New Roman"/>
                <w:color w:val="auto"/>
                <w:kern w:val="2"/>
                <w:sz w:val="18"/>
                <w:szCs w:val="22"/>
                <w:lang w:val="en-US" w:eastAsia="zh-CN" w:bidi="ar-SA"/>
              </w:rPr>
              <w:t>加工</w:t>
            </w:r>
            <w:r>
              <w:rPr>
                <w:rFonts w:hint="eastAsia" w:ascii="宋体" w:hAnsi="宋体" w:eastAsia="宋体" w:cs="Times New Roman"/>
                <w:color w:val="auto"/>
                <w:kern w:val="2"/>
                <w:sz w:val="18"/>
                <w:szCs w:val="22"/>
                <w:lang w:val="en-US" w:eastAsia="zh-CN" w:bidi="ar-SA"/>
              </w:rPr>
              <w:t>流程：备料→装卡→加工（车、铣、磨、钻、镗）→测量→退卡→检验-入库。</w:t>
            </w:r>
          </w:p>
          <w:p>
            <w:pPr>
              <w:pStyle w:val="2"/>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4为实现产品质量目标配置了相应人员（如办公行政人员、 生产人员、销售服务人员</w:t>
            </w:r>
            <w:r>
              <w:rPr>
                <w:rFonts w:hint="eastAsia" w:ascii="宋体" w:hAnsi="宋体" w:cs="Times New Roman"/>
                <w:color w:val="auto"/>
                <w:kern w:val="2"/>
                <w:sz w:val="18"/>
                <w:szCs w:val="22"/>
                <w:lang w:val="en-US" w:eastAsia="zh-CN" w:bidi="ar-SA"/>
              </w:rPr>
              <w:t>、技术人员</w:t>
            </w:r>
            <w:r>
              <w:rPr>
                <w:rFonts w:hint="eastAsia" w:ascii="宋体" w:hAnsi="宋体" w:eastAsia="宋体" w:cs="Times New Roman"/>
                <w:color w:val="auto"/>
                <w:kern w:val="2"/>
                <w:sz w:val="18"/>
                <w:szCs w:val="22"/>
                <w:lang w:val="en-US" w:eastAsia="zh-CN" w:bidi="ar-SA"/>
              </w:rPr>
              <w:t>等)，</w:t>
            </w:r>
            <w:r>
              <w:rPr>
                <w:rFonts w:hint="eastAsia" w:ascii="宋体" w:hAnsi="宋体" w:cs="Times New Roman"/>
                <w:color w:val="auto"/>
                <w:kern w:val="2"/>
                <w:sz w:val="18"/>
                <w:szCs w:val="22"/>
                <w:lang w:val="en-US" w:eastAsia="zh-CN" w:bidi="ar-SA"/>
              </w:rPr>
              <w:t>生产</w:t>
            </w:r>
            <w:r>
              <w:rPr>
                <w:rFonts w:hint="eastAsia" w:ascii="宋体" w:hAnsi="宋体" w:eastAsia="宋体" w:cs="Times New Roman"/>
                <w:color w:val="auto"/>
                <w:kern w:val="2"/>
                <w:sz w:val="18"/>
                <w:szCs w:val="22"/>
                <w:lang w:val="en-US" w:eastAsia="zh-CN" w:bidi="ar-SA"/>
              </w:rPr>
              <w:t>设施(如</w:t>
            </w:r>
            <w:r>
              <w:rPr>
                <w:rFonts w:hint="eastAsia" w:ascii="宋体" w:hAnsi="宋体" w:cs="Times New Roman"/>
                <w:color w:val="auto"/>
                <w:kern w:val="2"/>
                <w:sz w:val="18"/>
                <w:szCs w:val="22"/>
                <w:lang w:val="en-US" w:eastAsia="zh-CN" w:bidi="ar-SA"/>
              </w:rPr>
              <w:t>车床、铣床、数控加工中心、钻床</w:t>
            </w:r>
            <w:r>
              <w:rPr>
                <w:rFonts w:hint="eastAsia" w:ascii="宋体" w:hAnsi="宋体" w:eastAsia="宋体" w:cs="Times New Roman"/>
                <w:color w:val="auto"/>
                <w:kern w:val="2"/>
                <w:sz w:val="18"/>
                <w:szCs w:val="22"/>
                <w:lang w:val="en-US" w:eastAsia="zh-CN" w:bidi="ar-SA"/>
              </w:rPr>
              <w:t>等），可满足现经营要求；</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6</w:t>
            </w:r>
            <w:r>
              <w:rPr>
                <w:rFonts w:hint="eastAsia" w:ascii="宋体" w:hAnsi="宋体" w:cs="Times New Roman"/>
                <w:color w:val="auto"/>
                <w:kern w:val="2"/>
                <w:sz w:val="18"/>
                <w:szCs w:val="22"/>
                <w:lang w:val="en-US" w:eastAsia="zh-CN" w:bidi="ar-SA"/>
              </w:rPr>
              <w:t>接收</w:t>
            </w:r>
            <w:r>
              <w:rPr>
                <w:rFonts w:hint="default" w:ascii="宋体" w:hAnsi="宋体" w:eastAsia="宋体" w:cs="Times New Roman"/>
                <w:color w:val="auto"/>
                <w:kern w:val="2"/>
                <w:sz w:val="18"/>
                <w:szCs w:val="22"/>
                <w:lang w:val="en-US" w:eastAsia="zh-CN" w:bidi="ar-SA"/>
              </w:rPr>
              <w:t>准则</w:t>
            </w:r>
            <w:r>
              <w:rPr>
                <w:rFonts w:hint="eastAsia" w:ascii="宋体" w:hAnsi="宋体" w:eastAsia="宋体" w:cs="Times New Roman"/>
                <w:color w:val="auto"/>
                <w:kern w:val="2"/>
                <w:sz w:val="18"/>
                <w:szCs w:val="22"/>
                <w:lang w:val="en-US" w:eastAsia="zh-CN" w:bidi="ar-SA"/>
              </w:rPr>
              <w:t>:</w:t>
            </w:r>
            <w:r>
              <w:rPr>
                <w:rFonts w:hint="eastAsia" w:ascii="宋体" w:hAnsi="宋体" w:cs="Times New Roman"/>
                <w:color w:val="auto"/>
                <w:kern w:val="2"/>
                <w:sz w:val="18"/>
                <w:szCs w:val="22"/>
                <w:lang w:val="en-US" w:eastAsia="zh-CN" w:bidi="ar-SA"/>
              </w:rPr>
              <w:t>生产</w:t>
            </w:r>
            <w:r>
              <w:rPr>
                <w:rFonts w:hint="eastAsia" w:ascii="宋体" w:hAnsi="宋体" w:eastAsia="宋体" w:cs="Times New Roman"/>
                <w:color w:val="auto"/>
                <w:kern w:val="2"/>
                <w:sz w:val="18"/>
                <w:szCs w:val="22"/>
                <w:lang w:val="en-US" w:eastAsia="zh-CN" w:bidi="ar-SA"/>
              </w:rPr>
              <w:t>规程</w:t>
            </w:r>
            <w:r>
              <w:rPr>
                <w:rFonts w:hint="default" w:ascii="宋体" w:hAnsi="宋体" w:eastAsia="宋体" w:cs="Times New Roman"/>
                <w:color w:val="auto"/>
                <w:kern w:val="2"/>
                <w:sz w:val="18"/>
                <w:szCs w:val="22"/>
                <w:lang w:val="en-US" w:eastAsia="zh-CN" w:bidi="ar-SA"/>
              </w:rPr>
              <w:t>、</w:t>
            </w:r>
            <w:r>
              <w:rPr>
                <w:rFonts w:hint="eastAsia" w:ascii="宋体" w:hAnsi="宋体" w:eastAsia="宋体" w:cs="Times New Roman"/>
                <w:color w:val="auto"/>
                <w:kern w:val="2"/>
                <w:sz w:val="18"/>
                <w:szCs w:val="22"/>
                <w:lang w:val="en-US" w:eastAsia="zh-CN" w:bidi="ar-SA"/>
              </w:rPr>
              <w:t>销售合同、</w:t>
            </w:r>
            <w:r>
              <w:rPr>
                <w:rFonts w:hint="default" w:ascii="宋体" w:hAnsi="宋体" w:eastAsia="宋体" w:cs="Times New Roman"/>
                <w:color w:val="auto"/>
                <w:kern w:val="2"/>
                <w:sz w:val="18"/>
                <w:szCs w:val="22"/>
                <w:lang w:val="en-US" w:eastAsia="zh-CN" w:bidi="ar-SA"/>
              </w:rPr>
              <w:t>相关标准、用户要求等进行</w:t>
            </w:r>
            <w:r>
              <w:rPr>
                <w:rFonts w:hint="eastAsia" w:ascii="宋体" w:hAnsi="宋体" w:eastAsia="宋体" w:cs="Times New Roman"/>
                <w:color w:val="auto"/>
                <w:kern w:val="2"/>
                <w:sz w:val="18"/>
                <w:szCs w:val="22"/>
                <w:lang w:val="en-US" w:eastAsia="zh-CN" w:bidi="ar-SA"/>
              </w:rPr>
              <w:t>接收</w:t>
            </w:r>
            <w:r>
              <w:rPr>
                <w:rFonts w:hint="default" w:ascii="宋体" w:hAnsi="宋体" w:eastAsia="宋体" w:cs="Times New Roman"/>
                <w:color w:val="auto"/>
                <w:kern w:val="2"/>
                <w:sz w:val="18"/>
                <w:szCs w:val="22"/>
                <w:lang w:val="en-US" w:eastAsia="zh-CN" w:bidi="ar-SA"/>
              </w:rPr>
              <w:t>，以保证交付的产品满足要求。</w:t>
            </w:r>
          </w:p>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7.记录：策划有委销售合同、内部审核检查表、首末次会议记录、</w:t>
            </w:r>
            <w:r>
              <w:rPr>
                <w:rFonts w:hint="eastAsia" w:ascii="宋体" w:hAnsi="宋体" w:cs="Times New Roman"/>
                <w:color w:val="auto"/>
                <w:kern w:val="2"/>
                <w:sz w:val="18"/>
                <w:szCs w:val="22"/>
                <w:lang w:val="en-US" w:eastAsia="zh-CN" w:bidi="ar-SA"/>
              </w:rPr>
              <w:t>生产</w:t>
            </w:r>
            <w:r>
              <w:rPr>
                <w:rFonts w:hint="eastAsia" w:ascii="宋体" w:hAnsi="宋体" w:eastAsia="宋体" w:cs="Times New Roman"/>
                <w:color w:val="auto"/>
                <w:kern w:val="2"/>
                <w:sz w:val="18"/>
                <w:szCs w:val="22"/>
                <w:lang w:val="en-US" w:eastAsia="zh-CN" w:bidi="ar-SA"/>
              </w:rPr>
              <w:t>特殊过程确认记录、合同评审记录录等，基本满足产品实现需要。</w:t>
            </w:r>
          </w:p>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提供有生产过程中的记录、检验记录、放行记录。</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noWrap w:val="0"/>
            <w:vAlign w:val="center"/>
          </w:tcPr>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设计开发</w:t>
            </w:r>
          </w:p>
        </w:tc>
        <w:tc>
          <w:tcPr>
            <w:tcW w:w="960" w:type="dxa"/>
            <w:noWrap w:val="0"/>
            <w:vAlign w:val="center"/>
          </w:tcPr>
          <w:p>
            <w:pPr>
              <w:spacing w:line="360" w:lineRule="auto"/>
              <w:ind w:firstLine="180" w:firstLineChars="1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Q8.3</w:t>
            </w:r>
          </w:p>
        </w:tc>
        <w:tc>
          <w:tcPr>
            <w:tcW w:w="10755" w:type="dxa"/>
            <w:noWrap w:val="0"/>
            <w:vAlign w:val="top"/>
          </w:tcPr>
          <w:p>
            <w:pPr>
              <w:spacing w:line="360" w:lineRule="auto"/>
              <w:ind w:firstLine="180" w:firstLineChars="1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不适用，不适用理由： 因该公司的</w:t>
            </w:r>
            <w:r>
              <w:rPr>
                <w:rFonts w:hint="eastAsia" w:ascii="宋体" w:hAnsi="宋体"/>
                <w:szCs w:val="21"/>
              </w:rPr>
              <w:t>一般机械零部件的加工</w:t>
            </w:r>
            <w:r>
              <w:rPr>
                <w:rFonts w:hint="eastAsia" w:ascii="宋体" w:hAnsi="宋体" w:eastAsia="宋体" w:cs="Times New Roman"/>
                <w:color w:val="auto"/>
                <w:kern w:val="2"/>
                <w:sz w:val="18"/>
                <w:szCs w:val="22"/>
                <w:lang w:val="en-US" w:eastAsia="zh-CN" w:bidi="ar-SA"/>
              </w:rPr>
              <w:t xml:space="preserve"> ，按照顾客的要求及标准进行，该条款的不适用,不影响组织确保其产品和服务合格的能力和责任，也不会对增强顾客满意产生影响。</w:t>
            </w:r>
          </w:p>
          <w:p>
            <w:pPr>
              <w:spacing w:line="360" w:lineRule="auto"/>
              <w:ind w:firstLine="180" w:firstLineChars="100"/>
              <w:rPr>
                <w:rFonts w:hint="eastAsia" w:ascii="宋体" w:hAnsi="宋体" w:eastAsia="宋体" w:cs="Times New Roman"/>
                <w:color w:val="auto"/>
                <w:kern w:val="2"/>
                <w:sz w:val="18"/>
                <w:szCs w:val="22"/>
                <w:lang w:val="en-GB" w:eastAsia="zh-CN" w:bidi="ar-SA"/>
              </w:rPr>
            </w:pPr>
          </w:p>
        </w:tc>
        <w:tc>
          <w:tcPr>
            <w:tcW w:w="834"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vAlign w:val="center"/>
          </w:tcPr>
          <w:p>
            <w:pPr>
              <w:pStyle w:val="2"/>
              <w:rPr>
                <w:rFonts w:hint="default" w:ascii="宋体" w:hAnsi="宋体" w:eastAsia="宋体" w:cs="Times New Roman"/>
                <w:bCs w:val="0"/>
                <w:color w:val="auto"/>
                <w:spacing w:val="0"/>
                <w:kern w:val="2"/>
                <w:sz w:val="18"/>
                <w:szCs w:val="22"/>
                <w:lang w:val="en-US" w:eastAsia="zh-CN" w:bidi="ar-SA"/>
              </w:rPr>
            </w:pPr>
            <w:r>
              <w:rPr>
                <w:rFonts w:hint="default" w:ascii="宋体" w:hAnsi="宋体" w:eastAsia="宋体" w:cs="Times New Roman"/>
                <w:bCs w:val="0"/>
                <w:color w:val="auto"/>
                <w:spacing w:val="0"/>
                <w:kern w:val="2"/>
                <w:sz w:val="18"/>
                <w:szCs w:val="22"/>
                <w:lang w:val="en-GB" w:eastAsia="zh-CN" w:bidi="ar-SA"/>
              </w:rPr>
              <w:t>不合格输出的控制</w:t>
            </w:r>
          </w:p>
        </w:tc>
        <w:tc>
          <w:tcPr>
            <w:tcW w:w="960" w:type="dxa"/>
            <w:vAlign w:val="center"/>
          </w:tcPr>
          <w:p>
            <w:pPr>
              <w:pStyle w:val="2"/>
              <w:rPr>
                <w:rFonts w:hint="default" w:ascii="宋体" w:hAnsi="宋体" w:eastAsia="宋体" w:cs="Times New Roman"/>
                <w:bCs w:val="0"/>
                <w:color w:val="auto"/>
                <w:spacing w:val="0"/>
                <w:kern w:val="2"/>
                <w:sz w:val="18"/>
                <w:szCs w:val="22"/>
                <w:lang w:val="en-US" w:eastAsia="zh-CN" w:bidi="ar-SA"/>
              </w:rPr>
            </w:pPr>
            <w:r>
              <w:rPr>
                <w:rFonts w:hint="default" w:ascii="宋体" w:hAnsi="宋体" w:eastAsia="宋体" w:cs="Times New Roman"/>
                <w:bCs w:val="0"/>
                <w:color w:val="auto"/>
                <w:spacing w:val="0"/>
                <w:kern w:val="2"/>
                <w:sz w:val="18"/>
                <w:szCs w:val="22"/>
                <w:lang w:val="en-GB" w:eastAsia="zh-CN" w:bidi="ar-SA"/>
              </w:rPr>
              <w:t xml:space="preserve">8.7 </w:t>
            </w:r>
          </w:p>
        </w:tc>
        <w:tc>
          <w:tcPr>
            <w:tcW w:w="10755" w:type="dxa"/>
            <w:vAlign w:val="center"/>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color w:val="0000FF"/>
                <w:szCs w:val="21"/>
              </w:rPr>
            </w:pPr>
            <w:r>
              <w:rPr>
                <w:rFonts w:hint="eastAsia" w:ascii="宋体" w:hAnsi="宋体"/>
                <w:szCs w:val="21"/>
              </w:rPr>
              <w:t>机械零部件</w:t>
            </w:r>
            <w:r>
              <w:rPr>
                <w:rFonts w:hint="eastAsia"/>
                <w:color w:val="auto"/>
                <w:szCs w:val="21"/>
              </w:rPr>
              <w:t>不合格品处置：一般返工处理，目前无。</w:t>
            </w:r>
          </w:p>
          <w:p>
            <w:pPr>
              <w:pStyle w:val="2"/>
              <w:rPr>
                <w:rFonts w:hint="eastAsia" w:ascii="宋体" w:hAnsi="宋体" w:eastAsia="宋体" w:cs="Times New Roman"/>
                <w:bCs w:val="0"/>
                <w:color w:val="auto"/>
                <w:spacing w:val="0"/>
                <w:kern w:val="2"/>
                <w:sz w:val="18"/>
                <w:szCs w:val="22"/>
                <w:lang w:val="en-GB" w:eastAsia="zh-CN" w:bidi="ar-SA"/>
              </w:rPr>
            </w:pPr>
            <w:r>
              <w:rPr>
                <w:rFonts w:hint="eastAsia"/>
                <w:szCs w:val="21"/>
                <w:lang w:val="en-US" w:eastAsia="zh-CN"/>
              </w:rPr>
              <w:t>成品</w:t>
            </w:r>
            <w:r>
              <w:rPr>
                <w:rFonts w:hint="eastAsia"/>
                <w:szCs w:val="21"/>
              </w:rPr>
              <w:t>不合格品处置：一般返工处理，目前无。</w:t>
            </w:r>
          </w:p>
        </w:tc>
        <w:tc>
          <w:tcPr>
            <w:tcW w:w="834" w:type="dxa"/>
          </w:tcPr>
          <w:p>
            <w:pPr>
              <w:pStyle w:val="2"/>
              <w:rPr>
                <w:rFonts w:hint="eastAsia" w:ascii="宋体" w:hAnsi="宋体" w:eastAsia="宋体" w:cs="Times New Roman"/>
                <w:bCs w:val="0"/>
                <w:color w:val="auto"/>
                <w:spacing w:val="0"/>
                <w:kern w:val="2"/>
                <w:sz w:val="18"/>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运行控制</w:t>
            </w:r>
          </w:p>
        </w:tc>
        <w:tc>
          <w:tcPr>
            <w:tcW w:w="960" w:type="dxa"/>
            <w:vAlign w:val="center"/>
          </w:tcPr>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US" w:eastAsia="zh-CN" w:bidi="ar-SA"/>
              </w:rPr>
              <w:t>S</w:t>
            </w:r>
            <w:r>
              <w:rPr>
                <w:rFonts w:hint="eastAsia" w:ascii="宋体" w:hAnsi="宋体" w:eastAsia="宋体" w:cs="Times New Roman"/>
                <w:bCs w:val="0"/>
                <w:color w:val="auto"/>
                <w:spacing w:val="0"/>
                <w:kern w:val="2"/>
                <w:sz w:val="18"/>
                <w:szCs w:val="22"/>
                <w:lang w:val="en-GB" w:eastAsia="zh-CN" w:bidi="ar-SA"/>
              </w:rPr>
              <w:t>8.1</w:t>
            </w:r>
          </w:p>
          <w:p>
            <w:pPr>
              <w:pStyle w:val="2"/>
              <w:rPr>
                <w:rFonts w:hint="eastAsia" w:ascii="宋体" w:hAnsi="宋体" w:eastAsia="宋体" w:cs="Times New Roman"/>
                <w:bCs w:val="0"/>
                <w:color w:val="auto"/>
                <w:spacing w:val="0"/>
                <w:kern w:val="2"/>
                <w:sz w:val="18"/>
                <w:szCs w:val="22"/>
                <w:lang w:val="en-GB" w:eastAsia="zh-CN" w:bidi="ar-SA"/>
              </w:rPr>
            </w:pPr>
          </w:p>
        </w:tc>
        <w:tc>
          <w:tcPr>
            <w:tcW w:w="10755" w:type="dxa"/>
            <w:vAlign w:val="center"/>
          </w:tcPr>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本部门应执行的运行控制文件包括：环境管理控制程序、职业健康控制程序、固体废弃物管理规定、对相关方施加影响管理规定、节能降耗管理规定、消防安全管理制度、办公室安全管理制度、车辆管理规定、电脑使用管理办法、服务人员工作规范等</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运行控制情况：</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US" w:eastAsia="zh-CN" w:bidi="ar-SA"/>
              </w:rPr>
              <w:t>触电：</w:t>
            </w:r>
            <w:r>
              <w:rPr>
                <w:rFonts w:hint="eastAsia" w:ascii="宋体" w:hAnsi="宋体" w:eastAsia="宋体" w:cs="Times New Roman"/>
                <w:bCs w:val="0"/>
                <w:color w:val="auto"/>
                <w:spacing w:val="0"/>
                <w:kern w:val="2"/>
                <w:sz w:val="18"/>
                <w:szCs w:val="22"/>
                <w:lang w:val="en-GB" w:eastAsia="zh-CN" w:bidi="ar-SA"/>
              </w:rPr>
              <w:t>办公过程注意节约用电，做到人走灯灭，电脑长时间不用时关机，下班前要关闭电源，防止触电。</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办公区域</w:t>
            </w:r>
            <w:r>
              <w:rPr>
                <w:rFonts w:hint="eastAsia" w:ascii="宋体" w:hAnsi="宋体" w:eastAsia="宋体" w:cs="Times New Roman"/>
                <w:bCs w:val="0"/>
                <w:color w:val="auto"/>
                <w:spacing w:val="0"/>
                <w:kern w:val="2"/>
                <w:sz w:val="18"/>
                <w:szCs w:val="22"/>
                <w:lang w:val="en-US" w:eastAsia="zh-CN" w:bidi="ar-SA"/>
              </w:rPr>
              <w:t>:</w:t>
            </w:r>
            <w:r>
              <w:rPr>
                <w:rFonts w:hint="eastAsia" w:ascii="宋体" w:hAnsi="宋体" w:eastAsia="宋体" w:cs="Times New Roman"/>
                <w:bCs w:val="0"/>
                <w:color w:val="auto"/>
                <w:spacing w:val="0"/>
                <w:kern w:val="2"/>
                <w:sz w:val="18"/>
                <w:szCs w:val="22"/>
                <w:lang w:val="en-GB" w:eastAsia="zh-CN" w:bidi="ar-SA"/>
              </w:rPr>
              <w:t>，现场查看办公区域环境整洁、宽敞、办公设备状态良好、</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工作时间平均每天不超过8小时。</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现场查看办公区域配备符合要求的消防设施。</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现场查看办公区域，整洁、光线充足、室内空气良好、配置有空调，办公条件较好，办公设备安全状态良好，教育员工正确使用办公设备，现场用电基本规范，无乱拉线现象，防止火灾发生。</w:t>
            </w:r>
          </w:p>
          <w:p>
            <w:pPr>
              <w:pStyle w:val="2"/>
              <w:rPr>
                <w:rFonts w:hint="eastAsia"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GB" w:eastAsia="zh-CN" w:bidi="ar-SA"/>
              </w:rPr>
              <w:t>9、相关方施加影响：公司能够控制或能够施加影响的相关方有顾客等。提供了“致相关方的公开信”，将公司的环境/安全控制要求发放到了所有相关方</w:t>
            </w:r>
            <w:r>
              <w:rPr>
                <w:rFonts w:hint="eastAsia" w:ascii="宋体" w:hAnsi="宋体" w:eastAsia="宋体" w:cs="Times New Roman"/>
                <w:bCs w:val="0"/>
                <w:color w:val="auto"/>
                <w:spacing w:val="0"/>
                <w:kern w:val="2"/>
                <w:sz w:val="18"/>
                <w:szCs w:val="22"/>
                <w:lang w:val="en-US" w:eastAsia="zh-CN" w:bidi="ar-SA"/>
              </w:rPr>
              <w:t>:</w:t>
            </w:r>
            <w:r>
              <w:rPr>
                <w:rFonts w:hint="eastAsia" w:ascii="宋体" w:hAnsi="宋体" w:eastAsia="宋体" w:cs="Times New Roman"/>
                <w:bCs w:val="0"/>
                <w:color w:val="auto"/>
                <w:spacing w:val="0"/>
                <w:kern w:val="2"/>
                <w:sz w:val="18"/>
                <w:szCs w:val="22"/>
                <w:lang w:val="en-GB" w:eastAsia="zh-CN" w:bidi="ar-SA"/>
              </w:rPr>
              <w:t>运输公司</w:t>
            </w:r>
            <w:r>
              <w:rPr>
                <w:rFonts w:hint="eastAsia" w:ascii="宋体" w:hAnsi="宋体" w:eastAsia="宋体" w:cs="Times New Roman"/>
                <w:bCs w:val="0"/>
                <w:color w:val="auto"/>
                <w:spacing w:val="0"/>
                <w:kern w:val="2"/>
                <w:sz w:val="18"/>
                <w:szCs w:val="22"/>
                <w:lang w:val="en-US" w:eastAsia="zh-CN" w:bidi="ar-SA"/>
              </w:rPr>
              <w:t>\供应商\</w:t>
            </w:r>
            <w:r>
              <w:rPr>
                <w:rFonts w:hint="eastAsia" w:ascii="宋体" w:hAnsi="宋体" w:eastAsia="宋体" w:cs="Times New Roman"/>
                <w:bCs w:val="0"/>
                <w:color w:val="auto"/>
                <w:spacing w:val="0"/>
                <w:kern w:val="2"/>
                <w:sz w:val="18"/>
                <w:szCs w:val="22"/>
                <w:lang w:val="en-GB" w:eastAsia="zh-CN" w:bidi="ar-SA"/>
              </w:rPr>
              <w:t>外来员工等</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10、</w:t>
            </w:r>
            <w:r>
              <w:rPr>
                <w:rFonts w:hint="eastAsia" w:ascii="宋体" w:hAnsi="宋体" w:eastAsia="宋体" w:cs="Times New Roman"/>
                <w:bCs w:val="0"/>
                <w:color w:val="auto"/>
                <w:spacing w:val="0"/>
                <w:kern w:val="2"/>
                <w:sz w:val="18"/>
                <w:szCs w:val="22"/>
                <w:lang w:val="en-US" w:eastAsia="zh-CN" w:bidi="ar-SA"/>
              </w:rPr>
              <w:t>意外伤害：</w:t>
            </w:r>
            <w:r>
              <w:rPr>
                <w:rFonts w:hint="eastAsia" w:ascii="宋体" w:hAnsi="宋体" w:eastAsia="宋体" w:cs="Times New Roman"/>
                <w:bCs w:val="0"/>
                <w:color w:val="auto"/>
                <w:spacing w:val="0"/>
                <w:kern w:val="2"/>
                <w:sz w:val="18"/>
                <w:szCs w:val="22"/>
                <w:lang w:val="en-GB" w:eastAsia="zh-CN" w:bidi="ar-SA"/>
              </w:rPr>
              <w:t>驾驶员要求遵守道路交通安全法规，不违章驾车，驾驶证和车辆定期年审，确保行车安全。</w:t>
            </w:r>
          </w:p>
          <w:p>
            <w:pPr>
              <w:pStyle w:val="2"/>
              <w:rPr>
                <w:rFonts w:hint="eastAsia"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12、对员工进行体检、上工伤保险，见附件</w:t>
            </w:r>
          </w:p>
          <w:p>
            <w:pPr>
              <w:pStyle w:val="2"/>
              <w:rPr>
                <w:rFonts w:hint="eastAsia"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13.高温中暑</w:t>
            </w:r>
          </w:p>
          <w:p>
            <w:pPr>
              <w:pStyle w:val="2"/>
              <w:rPr>
                <w:rFonts w:hint="eastAsia"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公司向员工提供防暑降温的食品和药品，综合部有专人负责该工作，没有发生过高温中暑的情况。</w:t>
            </w:r>
          </w:p>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US" w:eastAsia="zh-CN" w:bidi="ar-SA"/>
              </w:rPr>
              <w:t>14.</w:t>
            </w:r>
            <w:r>
              <w:rPr>
                <w:rFonts w:hint="eastAsia" w:ascii="宋体" w:hAnsi="宋体" w:eastAsia="宋体" w:cs="Times New Roman"/>
                <w:bCs w:val="0"/>
                <w:color w:val="auto"/>
                <w:spacing w:val="0"/>
                <w:kern w:val="2"/>
                <w:sz w:val="18"/>
                <w:szCs w:val="22"/>
                <w:lang w:val="en-GB" w:eastAsia="zh-CN" w:bidi="ar-SA"/>
              </w:rPr>
              <w:t>受相关方施加影响：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15、新冠疫情期间，组织</w:t>
            </w:r>
            <w:r>
              <w:rPr>
                <w:rFonts w:hint="eastAsia" w:ascii="宋体" w:hAnsi="宋体" w:eastAsia="宋体" w:cs="Times New Roman"/>
                <w:bCs w:val="0"/>
                <w:color w:val="auto"/>
                <w:spacing w:val="0"/>
                <w:kern w:val="2"/>
                <w:sz w:val="18"/>
                <w:szCs w:val="22"/>
                <w:lang w:val="en-GB" w:eastAsia="zh-CN" w:bidi="ar-SA"/>
              </w:rPr>
              <w:t>策划了《</w:t>
            </w:r>
            <w:r>
              <w:rPr>
                <w:rFonts w:hint="eastAsia" w:ascii="宋体" w:hAnsi="宋体" w:eastAsia="宋体" w:cs="Times New Roman"/>
                <w:bCs w:val="0"/>
                <w:color w:val="auto"/>
                <w:spacing w:val="0"/>
                <w:kern w:val="2"/>
                <w:sz w:val="18"/>
                <w:szCs w:val="22"/>
                <w:lang w:val="en-US" w:eastAsia="zh-CN" w:bidi="ar-SA"/>
              </w:rPr>
              <w:t>疫情防控应急工作预案》，对疫情期间的疫情防控物资的发放、人员的管控、每日的人员体温检测、环境的消毒等进行了策划</w:t>
            </w:r>
          </w:p>
          <w:p>
            <w:pPr>
              <w:pStyle w:val="2"/>
              <w:rPr>
                <w:rFonts w:hint="default"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运行正常</w:t>
            </w:r>
          </w:p>
          <w:p>
            <w:pPr>
              <w:pStyle w:val="2"/>
              <w:rPr>
                <w:rFonts w:hint="eastAsia" w:ascii="宋体" w:hAnsi="宋体" w:eastAsia="宋体" w:cs="Times New Roman"/>
                <w:bCs w:val="0"/>
                <w:color w:val="auto"/>
                <w:spacing w:val="0"/>
                <w:kern w:val="2"/>
                <w:sz w:val="18"/>
                <w:szCs w:val="22"/>
                <w:lang w:val="en-GB" w:eastAsia="zh-CN" w:bidi="ar-SA"/>
              </w:rPr>
            </w:pPr>
          </w:p>
        </w:tc>
        <w:tc>
          <w:tcPr>
            <w:tcW w:w="834" w:type="dxa"/>
          </w:tcPr>
          <w:p>
            <w:pPr>
              <w:pStyle w:val="2"/>
              <w:rPr>
                <w:rFonts w:hint="eastAsia" w:ascii="宋体" w:hAnsi="宋体" w:eastAsia="宋体" w:cs="Times New Roman"/>
                <w:bCs w:val="0"/>
                <w:color w:val="auto"/>
                <w:spacing w:val="0"/>
                <w:kern w:val="2"/>
                <w:sz w:val="18"/>
                <w:szCs w:val="22"/>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pPr>
              <w:pStyle w:val="2"/>
              <w:rPr>
                <w:rFonts w:hint="default"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GB" w:eastAsia="zh-CN" w:bidi="ar-SA"/>
              </w:rPr>
              <w:t>应急准备和响应</w:t>
            </w:r>
          </w:p>
        </w:tc>
        <w:tc>
          <w:tcPr>
            <w:tcW w:w="960" w:type="dxa"/>
            <w:vAlign w:val="center"/>
          </w:tcPr>
          <w:p>
            <w:pPr>
              <w:pStyle w:val="2"/>
              <w:rPr>
                <w:rFonts w:hint="eastAsia" w:ascii="宋体" w:hAnsi="宋体" w:eastAsia="宋体" w:cs="Times New Roman"/>
                <w:bCs w:val="0"/>
                <w:color w:val="auto"/>
                <w:spacing w:val="0"/>
                <w:kern w:val="2"/>
                <w:sz w:val="18"/>
                <w:szCs w:val="22"/>
                <w:lang w:val="en-GB" w:eastAsia="zh-CN" w:bidi="ar-SA"/>
              </w:rPr>
            </w:pPr>
            <w:r>
              <w:rPr>
                <w:rFonts w:hint="eastAsia" w:ascii="宋体" w:hAnsi="宋体" w:eastAsia="宋体" w:cs="Times New Roman"/>
                <w:bCs w:val="0"/>
                <w:color w:val="auto"/>
                <w:spacing w:val="0"/>
                <w:kern w:val="2"/>
                <w:sz w:val="18"/>
                <w:szCs w:val="22"/>
                <w:lang w:val="en-US" w:eastAsia="zh-CN" w:bidi="ar-SA"/>
              </w:rPr>
              <w:t>S</w:t>
            </w:r>
            <w:r>
              <w:rPr>
                <w:rFonts w:hint="eastAsia" w:ascii="宋体" w:hAnsi="宋体" w:eastAsia="宋体" w:cs="Times New Roman"/>
                <w:bCs w:val="0"/>
                <w:color w:val="auto"/>
                <w:spacing w:val="0"/>
                <w:kern w:val="2"/>
                <w:sz w:val="18"/>
                <w:szCs w:val="22"/>
                <w:lang w:val="en-GB" w:eastAsia="zh-CN" w:bidi="ar-SA"/>
              </w:rPr>
              <w:t>8.2</w:t>
            </w:r>
          </w:p>
          <w:p>
            <w:pPr>
              <w:pStyle w:val="2"/>
              <w:rPr>
                <w:rFonts w:hint="default" w:ascii="宋体" w:hAnsi="宋体" w:eastAsia="宋体" w:cs="Times New Roman"/>
                <w:bCs w:val="0"/>
                <w:color w:val="auto"/>
                <w:spacing w:val="0"/>
                <w:kern w:val="2"/>
                <w:sz w:val="18"/>
                <w:szCs w:val="22"/>
                <w:lang w:val="en-GB" w:eastAsia="zh-CN" w:bidi="ar-SA"/>
              </w:rPr>
            </w:pPr>
          </w:p>
        </w:tc>
        <w:tc>
          <w:tcPr>
            <w:tcW w:w="10755" w:type="dxa"/>
            <w:vAlign w:val="center"/>
          </w:tcPr>
          <w:p>
            <w:pPr>
              <w:pStyle w:val="2"/>
              <w:rPr>
                <w:rFonts w:hint="eastAsia" w:ascii="宋体" w:hAnsi="宋体" w:eastAsia="宋体" w:cs="Times New Roman"/>
                <w:bCs w:val="0"/>
                <w:color w:val="auto"/>
                <w:spacing w:val="0"/>
                <w:kern w:val="2"/>
                <w:sz w:val="18"/>
                <w:szCs w:val="22"/>
                <w:lang w:val="en-GB" w:eastAsia="zh-CN" w:bidi="ar-SA"/>
              </w:rPr>
            </w:pPr>
          </w:p>
          <w:p>
            <w:pPr>
              <w:pStyle w:val="2"/>
              <w:rPr>
                <w:rFonts w:hint="default" w:ascii="宋体" w:hAnsi="宋体" w:eastAsia="宋体" w:cs="Times New Roman"/>
                <w:bCs w:val="0"/>
                <w:color w:val="auto"/>
                <w:spacing w:val="0"/>
                <w:kern w:val="2"/>
                <w:sz w:val="18"/>
                <w:szCs w:val="22"/>
                <w:lang w:val="en-US" w:eastAsia="zh-CN" w:bidi="ar-SA"/>
              </w:rPr>
            </w:pPr>
            <w:r>
              <w:rPr>
                <w:rFonts w:hint="eastAsia" w:ascii="宋体" w:hAnsi="宋体" w:eastAsia="宋体" w:cs="Times New Roman"/>
                <w:bCs w:val="0"/>
                <w:color w:val="auto"/>
                <w:spacing w:val="0"/>
                <w:kern w:val="2"/>
                <w:sz w:val="18"/>
                <w:szCs w:val="22"/>
                <w:lang w:val="en-US" w:eastAsia="zh-CN" w:bidi="ar-SA"/>
              </w:rPr>
              <w:t>生产部参与公司组织的应急预案及演练活动，具体审核见</w:t>
            </w:r>
            <w:r>
              <w:rPr>
                <w:rFonts w:hint="eastAsia" w:ascii="宋体" w:hAnsi="宋体" w:cs="Times New Roman"/>
                <w:bCs w:val="0"/>
                <w:color w:val="auto"/>
                <w:spacing w:val="0"/>
                <w:kern w:val="2"/>
                <w:sz w:val="18"/>
                <w:szCs w:val="22"/>
                <w:lang w:val="en-US" w:eastAsia="zh-CN" w:bidi="ar-SA"/>
              </w:rPr>
              <w:t>人力资源</w:t>
            </w:r>
            <w:bookmarkStart w:id="0" w:name="_GoBack"/>
            <w:bookmarkEnd w:id="0"/>
            <w:r>
              <w:rPr>
                <w:rFonts w:hint="eastAsia" w:ascii="宋体" w:hAnsi="宋体" w:eastAsia="宋体" w:cs="Times New Roman"/>
                <w:bCs w:val="0"/>
                <w:color w:val="auto"/>
                <w:spacing w:val="0"/>
                <w:kern w:val="2"/>
                <w:sz w:val="18"/>
                <w:szCs w:val="22"/>
                <w:lang w:val="en-US" w:eastAsia="zh-CN" w:bidi="ar-SA"/>
              </w:rPr>
              <w:t>部S</w:t>
            </w:r>
            <w:r>
              <w:rPr>
                <w:rFonts w:hint="eastAsia" w:ascii="宋体" w:hAnsi="宋体" w:eastAsia="宋体" w:cs="Times New Roman"/>
                <w:bCs w:val="0"/>
                <w:color w:val="auto"/>
                <w:spacing w:val="0"/>
                <w:kern w:val="2"/>
                <w:sz w:val="18"/>
                <w:szCs w:val="22"/>
                <w:lang w:val="en-GB" w:eastAsia="zh-CN" w:bidi="ar-SA"/>
              </w:rPr>
              <w:t>8.2</w:t>
            </w:r>
            <w:r>
              <w:rPr>
                <w:rFonts w:hint="eastAsia" w:ascii="宋体" w:hAnsi="宋体" w:eastAsia="宋体" w:cs="Times New Roman"/>
                <w:bCs w:val="0"/>
                <w:color w:val="auto"/>
                <w:spacing w:val="0"/>
                <w:kern w:val="2"/>
                <w:sz w:val="18"/>
                <w:szCs w:val="22"/>
                <w:lang w:val="en-US" w:eastAsia="zh-CN" w:bidi="ar-SA"/>
              </w:rPr>
              <w:t>审核记录</w:t>
            </w:r>
          </w:p>
          <w:p>
            <w:pPr>
              <w:pStyle w:val="2"/>
              <w:rPr>
                <w:rFonts w:hint="default" w:ascii="宋体" w:hAnsi="宋体" w:eastAsia="宋体" w:cs="Times New Roman"/>
                <w:bCs w:val="0"/>
                <w:color w:val="auto"/>
                <w:spacing w:val="0"/>
                <w:kern w:val="2"/>
                <w:sz w:val="18"/>
                <w:szCs w:val="22"/>
                <w:lang w:val="en-US" w:eastAsia="zh-CN" w:bidi="ar-SA"/>
              </w:rPr>
            </w:pPr>
          </w:p>
        </w:tc>
        <w:tc>
          <w:tcPr>
            <w:tcW w:w="834" w:type="dxa"/>
          </w:tcP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561596"/>
    <w:rsid w:val="02905FAB"/>
    <w:rsid w:val="03056749"/>
    <w:rsid w:val="03516B68"/>
    <w:rsid w:val="05072AD8"/>
    <w:rsid w:val="05301C9E"/>
    <w:rsid w:val="059A554E"/>
    <w:rsid w:val="075B691E"/>
    <w:rsid w:val="077424A2"/>
    <w:rsid w:val="07D05C90"/>
    <w:rsid w:val="08AB2D38"/>
    <w:rsid w:val="08B35B8F"/>
    <w:rsid w:val="0A01787C"/>
    <w:rsid w:val="0A733822"/>
    <w:rsid w:val="0A76049B"/>
    <w:rsid w:val="0AC85814"/>
    <w:rsid w:val="0ACF24C8"/>
    <w:rsid w:val="0BC016C1"/>
    <w:rsid w:val="0BEF1E1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7E3A97"/>
    <w:rsid w:val="15F242B8"/>
    <w:rsid w:val="16920113"/>
    <w:rsid w:val="17905CED"/>
    <w:rsid w:val="18314AE8"/>
    <w:rsid w:val="189B757B"/>
    <w:rsid w:val="1A3D625A"/>
    <w:rsid w:val="1AE63B2D"/>
    <w:rsid w:val="1D8955CB"/>
    <w:rsid w:val="1DD02468"/>
    <w:rsid w:val="1E4B58A2"/>
    <w:rsid w:val="1F7B12A5"/>
    <w:rsid w:val="1F8F7BF5"/>
    <w:rsid w:val="202A1006"/>
    <w:rsid w:val="20835883"/>
    <w:rsid w:val="20967C3A"/>
    <w:rsid w:val="22C86ECF"/>
    <w:rsid w:val="23250882"/>
    <w:rsid w:val="23277943"/>
    <w:rsid w:val="23C546A2"/>
    <w:rsid w:val="24105D3D"/>
    <w:rsid w:val="24402D36"/>
    <w:rsid w:val="24975D3F"/>
    <w:rsid w:val="24A15322"/>
    <w:rsid w:val="254501C0"/>
    <w:rsid w:val="26B62FAA"/>
    <w:rsid w:val="26E84B39"/>
    <w:rsid w:val="2924107C"/>
    <w:rsid w:val="29F41280"/>
    <w:rsid w:val="29F5053A"/>
    <w:rsid w:val="2A877CA2"/>
    <w:rsid w:val="2AF56B7B"/>
    <w:rsid w:val="2B986BF5"/>
    <w:rsid w:val="2BFD7FEA"/>
    <w:rsid w:val="2C154BC2"/>
    <w:rsid w:val="2C2758D3"/>
    <w:rsid w:val="2C7350E0"/>
    <w:rsid w:val="2D6D7819"/>
    <w:rsid w:val="2F955013"/>
    <w:rsid w:val="2FEA2951"/>
    <w:rsid w:val="2FEA3FBD"/>
    <w:rsid w:val="30041147"/>
    <w:rsid w:val="30B21281"/>
    <w:rsid w:val="32445E5A"/>
    <w:rsid w:val="334D0890"/>
    <w:rsid w:val="33D27330"/>
    <w:rsid w:val="34161972"/>
    <w:rsid w:val="341D4CD5"/>
    <w:rsid w:val="34327602"/>
    <w:rsid w:val="34A61CC3"/>
    <w:rsid w:val="35A805DB"/>
    <w:rsid w:val="35C624D3"/>
    <w:rsid w:val="37BA7AD7"/>
    <w:rsid w:val="38277DAF"/>
    <w:rsid w:val="38E16C80"/>
    <w:rsid w:val="39DF6321"/>
    <w:rsid w:val="3A3A0D76"/>
    <w:rsid w:val="3A4A193A"/>
    <w:rsid w:val="3A61549C"/>
    <w:rsid w:val="3C060909"/>
    <w:rsid w:val="3C064FC9"/>
    <w:rsid w:val="3C3914DF"/>
    <w:rsid w:val="3C572BF9"/>
    <w:rsid w:val="3CE267FD"/>
    <w:rsid w:val="3D811CCF"/>
    <w:rsid w:val="3DBC0C92"/>
    <w:rsid w:val="3E3E6E6C"/>
    <w:rsid w:val="3E842275"/>
    <w:rsid w:val="3E931B78"/>
    <w:rsid w:val="3ED67659"/>
    <w:rsid w:val="3F682ADC"/>
    <w:rsid w:val="3F820939"/>
    <w:rsid w:val="3FD22E54"/>
    <w:rsid w:val="3FE32053"/>
    <w:rsid w:val="417D2A96"/>
    <w:rsid w:val="41BA7498"/>
    <w:rsid w:val="4273217E"/>
    <w:rsid w:val="428C2F2E"/>
    <w:rsid w:val="44090091"/>
    <w:rsid w:val="4431700D"/>
    <w:rsid w:val="44512A1B"/>
    <w:rsid w:val="44926B19"/>
    <w:rsid w:val="457621F3"/>
    <w:rsid w:val="45794131"/>
    <w:rsid w:val="45DD462C"/>
    <w:rsid w:val="46A07FE7"/>
    <w:rsid w:val="46BC3555"/>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FF3E18"/>
    <w:rsid w:val="58CC3B54"/>
    <w:rsid w:val="58DF76EE"/>
    <w:rsid w:val="594A480D"/>
    <w:rsid w:val="59594A08"/>
    <w:rsid w:val="59A239D8"/>
    <w:rsid w:val="5B5803AC"/>
    <w:rsid w:val="5BD821FD"/>
    <w:rsid w:val="5C011ECB"/>
    <w:rsid w:val="5C84782F"/>
    <w:rsid w:val="5CF039B6"/>
    <w:rsid w:val="5D420DB6"/>
    <w:rsid w:val="5D435A95"/>
    <w:rsid w:val="5DB2354F"/>
    <w:rsid w:val="5E1A09D3"/>
    <w:rsid w:val="5EA12B9A"/>
    <w:rsid w:val="5F232846"/>
    <w:rsid w:val="5F4B7C0E"/>
    <w:rsid w:val="6055140D"/>
    <w:rsid w:val="605B0C85"/>
    <w:rsid w:val="609F2885"/>
    <w:rsid w:val="615D250D"/>
    <w:rsid w:val="61D520F5"/>
    <w:rsid w:val="637B1FF1"/>
    <w:rsid w:val="63AD0BBC"/>
    <w:rsid w:val="64727826"/>
    <w:rsid w:val="652F3FB0"/>
    <w:rsid w:val="65412805"/>
    <w:rsid w:val="655A5DA5"/>
    <w:rsid w:val="658B36F7"/>
    <w:rsid w:val="66091A20"/>
    <w:rsid w:val="662C5448"/>
    <w:rsid w:val="66AB551F"/>
    <w:rsid w:val="66B50C1D"/>
    <w:rsid w:val="671C7835"/>
    <w:rsid w:val="67415E27"/>
    <w:rsid w:val="679B349D"/>
    <w:rsid w:val="67CD07F7"/>
    <w:rsid w:val="682238C9"/>
    <w:rsid w:val="68645E27"/>
    <w:rsid w:val="68673177"/>
    <w:rsid w:val="694458CE"/>
    <w:rsid w:val="6A4C600A"/>
    <w:rsid w:val="6A7C2D67"/>
    <w:rsid w:val="6B8365B5"/>
    <w:rsid w:val="6BCD78EA"/>
    <w:rsid w:val="6BFC0F3A"/>
    <w:rsid w:val="6C5D5CAD"/>
    <w:rsid w:val="6CA562AE"/>
    <w:rsid w:val="6D8A2A33"/>
    <w:rsid w:val="6D9149D0"/>
    <w:rsid w:val="6DB0052D"/>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77787F"/>
    <w:rsid w:val="75DA79A3"/>
    <w:rsid w:val="77293209"/>
    <w:rsid w:val="78FF4573"/>
    <w:rsid w:val="793B1AC8"/>
    <w:rsid w:val="797F01F4"/>
    <w:rsid w:val="79903016"/>
    <w:rsid w:val="79A4014B"/>
    <w:rsid w:val="79A95C97"/>
    <w:rsid w:val="7A544A8A"/>
    <w:rsid w:val="7BBC2DB7"/>
    <w:rsid w:val="7C7F0075"/>
    <w:rsid w:val="7CB20B03"/>
    <w:rsid w:val="7DF81159"/>
    <w:rsid w:val="7E39247D"/>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2020-11-11T07:23:36Z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