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943"/>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宋体" w:hAnsi="宋体" w:cs="宋体"/>
                <w:szCs w:val="21"/>
              </w:rPr>
            </w:pPr>
            <w:r>
              <w:rPr>
                <w:rFonts w:hint="eastAsia" w:ascii="宋体" w:hAnsi="宋体" w:cs="宋体"/>
                <w:szCs w:val="21"/>
              </w:rPr>
              <w:t>过程与活动、</w:t>
            </w:r>
          </w:p>
          <w:p>
            <w:pPr>
              <w:jc w:val="center"/>
              <w:rPr>
                <w:rFonts w:ascii="宋体" w:hAnsi="宋体" w:cs="宋体"/>
                <w:szCs w:val="21"/>
              </w:rPr>
            </w:pPr>
            <w:r>
              <w:rPr>
                <w:rFonts w:hint="eastAsia" w:ascii="宋体" w:hAnsi="宋体" w:cs="宋体"/>
                <w:szCs w:val="21"/>
              </w:rPr>
              <w:t>抽样计划</w:t>
            </w:r>
          </w:p>
        </w:tc>
        <w:tc>
          <w:tcPr>
            <w:tcW w:w="960" w:type="dxa"/>
            <w:vMerge w:val="restart"/>
            <w:vAlign w:val="center"/>
          </w:tcPr>
          <w:p>
            <w:pPr>
              <w:rPr>
                <w:rFonts w:ascii="宋体" w:hAnsi="宋体" w:cs="宋体"/>
                <w:szCs w:val="21"/>
              </w:rPr>
            </w:pPr>
            <w:r>
              <w:rPr>
                <w:rFonts w:hint="eastAsia" w:ascii="宋体" w:hAnsi="宋体" w:cs="宋体"/>
                <w:szCs w:val="21"/>
              </w:rPr>
              <w:t>涉及</w:t>
            </w:r>
          </w:p>
          <w:p>
            <w:pPr>
              <w:rPr>
                <w:rFonts w:ascii="宋体" w:hAnsi="宋体" w:cs="宋体"/>
                <w:szCs w:val="21"/>
              </w:rPr>
            </w:pPr>
            <w:r>
              <w:rPr>
                <w:rFonts w:hint="eastAsia" w:ascii="宋体" w:hAnsi="宋体" w:cs="宋体"/>
                <w:szCs w:val="21"/>
              </w:rPr>
              <w:t>条款</w:t>
            </w:r>
          </w:p>
        </w:tc>
        <w:tc>
          <w:tcPr>
            <w:tcW w:w="10943" w:type="dxa"/>
            <w:vAlign w:val="center"/>
          </w:tcPr>
          <w:p>
            <w:pPr>
              <w:rPr>
                <w:rFonts w:ascii="宋体" w:hAnsi="宋体" w:cs="宋体"/>
                <w:szCs w:val="21"/>
              </w:rPr>
            </w:pPr>
            <w:r>
              <w:rPr>
                <w:rFonts w:hint="eastAsia" w:ascii="宋体" w:hAnsi="宋体" w:cs="宋体"/>
                <w:szCs w:val="21"/>
              </w:rPr>
              <w:t>受审核部门：管理层</w:t>
            </w:r>
            <w:r>
              <w:rPr>
                <w:rFonts w:hint="eastAsia" w:ascii="宋体" w:hAnsi="宋体" w:cs="宋体"/>
                <w:szCs w:val="21"/>
                <w:lang w:eastAsia="zh-CN"/>
              </w:rPr>
              <w:t>（</w:t>
            </w:r>
            <w:r>
              <w:rPr>
                <w:rFonts w:hint="eastAsia" w:ascii="宋体" w:hAnsi="宋体" w:cs="宋体"/>
                <w:szCs w:val="21"/>
                <w:lang w:val="en-US" w:eastAsia="zh-CN"/>
              </w:rPr>
              <w:t>含员工代表）</w:t>
            </w:r>
            <w:r>
              <w:rPr>
                <w:rFonts w:hint="eastAsia" w:ascii="宋体" w:hAnsi="宋体" w:cs="宋体"/>
                <w:szCs w:val="21"/>
              </w:rPr>
              <w:t xml:space="preserve">          主管领导：</w:t>
            </w:r>
            <w:r>
              <w:rPr>
                <w:rFonts w:hint="eastAsia"/>
              </w:rPr>
              <w:t>李强</w:t>
            </w:r>
            <w:r>
              <w:rPr>
                <w:rFonts w:hint="eastAsia" w:ascii="宋体" w:hAnsi="宋体" w:cs="宋体"/>
                <w:szCs w:val="21"/>
              </w:rPr>
              <w:t xml:space="preserve">   管理者代表：</w:t>
            </w:r>
            <w:r>
              <w:rPr>
                <w:rFonts w:hint="eastAsia"/>
              </w:rPr>
              <w:t>李黄水</w:t>
            </w:r>
          </w:p>
        </w:tc>
        <w:tc>
          <w:tcPr>
            <w:tcW w:w="646" w:type="dxa"/>
            <w:vMerge w:val="restart"/>
            <w:vAlign w:val="center"/>
          </w:tcPr>
          <w:p>
            <w:pPr>
              <w:rPr>
                <w:rFonts w:ascii="宋体" w:hAnsi="宋体" w:cs="宋体"/>
                <w:szCs w:val="21"/>
              </w:rPr>
            </w:pPr>
            <w:r>
              <w:rPr>
                <w:rFonts w:hint="eastAsia" w:ascii="宋体" w:hAnsi="宋体" w:cs="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宋体" w:hAnsi="宋体" w:cs="宋体"/>
                <w:szCs w:val="21"/>
              </w:rPr>
            </w:pPr>
          </w:p>
        </w:tc>
        <w:tc>
          <w:tcPr>
            <w:tcW w:w="960" w:type="dxa"/>
            <w:vMerge w:val="continue"/>
            <w:vAlign w:val="center"/>
          </w:tcPr>
          <w:p>
            <w:pPr>
              <w:rPr>
                <w:rFonts w:ascii="宋体" w:hAnsi="宋体" w:cs="宋体"/>
                <w:szCs w:val="21"/>
              </w:rPr>
            </w:pPr>
          </w:p>
        </w:tc>
        <w:tc>
          <w:tcPr>
            <w:tcW w:w="10943" w:type="dxa"/>
            <w:vAlign w:val="center"/>
          </w:tcPr>
          <w:p>
            <w:pPr>
              <w:spacing w:before="120"/>
              <w:rPr>
                <w:rFonts w:ascii="宋体" w:hAnsi="宋体" w:cs="宋体"/>
                <w:szCs w:val="21"/>
              </w:rPr>
            </w:pPr>
            <w:r>
              <w:rPr>
                <w:rFonts w:hint="eastAsia" w:ascii="宋体" w:hAnsi="宋体" w:cs="宋体"/>
                <w:szCs w:val="21"/>
              </w:rPr>
              <w:t>审核员：李雅静             审核时间：20</w:t>
            </w:r>
            <w:r>
              <w:rPr>
                <w:rFonts w:ascii="宋体" w:hAnsi="宋体" w:cs="宋体"/>
                <w:szCs w:val="21"/>
              </w:rPr>
              <w:t>20</w:t>
            </w:r>
            <w:r>
              <w:rPr>
                <w:rFonts w:hint="eastAsia" w:ascii="宋体" w:hAnsi="宋体" w:cs="宋体"/>
                <w:szCs w:val="21"/>
              </w:rPr>
              <w:t>年</w:t>
            </w:r>
            <w:r>
              <w:rPr>
                <w:rFonts w:hint="eastAsia" w:ascii="宋体" w:hAnsi="宋体" w:cs="宋体"/>
                <w:szCs w:val="21"/>
                <w:lang w:val="en-US" w:eastAsia="zh-CN"/>
              </w:rPr>
              <w:t>11</w:t>
            </w:r>
            <w:r>
              <w:rPr>
                <w:rFonts w:hint="eastAsia" w:ascii="宋体" w:hAnsi="宋体" w:cs="宋体"/>
                <w:szCs w:val="21"/>
              </w:rPr>
              <w:t>月</w:t>
            </w:r>
            <w:r>
              <w:rPr>
                <w:rFonts w:hint="eastAsia" w:ascii="宋体" w:hAnsi="宋体" w:cs="宋体"/>
                <w:szCs w:val="21"/>
                <w:lang w:val="en-US" w:eastAsia="zh-CN"/>
              </w:rPr>
              <w:t>5</w:t>
            </w:r>
            <w:bookmarkStart w:id="1" w:name="_GoBack"/>
            <w:bookmarkEnd w:id="1"/>
            <w:r>
              <w:rPr>
                <w:rFonts w:hint="eastAsia" w:ascii="宋体" w:hAnsi="宋体" w:cs="宋体"/>
                <w:szCs w:val="21"/>
              </w:rPr>
              <w:t>日</w:t>
            </w:r>
          </w:p>
        </w:tc>
        <w:tc>
          <w:tcPr>
            <w:tcW w:w="646" w:type="dxa"/>
            <w:vMerge w:val="continue"/>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宋体" w:hAnsi="宋体" w:cs="宋体"/>
                <w:szCs w:val="21"/>
              </w:rPr>
            </w:pPr>
          </w:p>
        </w:tc>
        <w:tc>
          <w:tcPr>
            <w:tcW w:w="960" w:type="dxa"/>
            <w:vMerge w:val="continue"/>
            <w:vAlign w:val="center"/>
          </w:tcPr>
          <w:p>
            <w:pPr>
              <w:rPr>
                <w:rFonts w:ascii="宋体" w:hAnsi="宋体" w:cs="宋体"/>
                <w:szCs w:val="21"/>
              </w:rPr>
            </w:pPr>
          </w:p>
        </w:tc>
        <w:tc>
          <w:tcPr>
            <w:tcW w:w="10943" w:type="dxa"/>
            <w:vAlign w:val="center"/>
          </w:tcPr>
          <w:p>
            <w:pPr>
              <w:rPr>
                <w:rFonts w:ascii="宋体" w:hAnsi="宋体" w:cs="宋体"/>
                <w:szCs w:val="21"/>
              </w:rPr>
            </w:pPr>
            <w:r>
              <w:rPr>
                <w:rFonts w:hint="eastAsia" w:ascii="宋体" w:hAnsi="宋体" w:cs="宋体"/>
                <w:szCs w:val="21"/>
              </w:rPr>
              <w:t>审核条款</w:t>
            </w:r>
          </w:p>
        </w:tc>
        <w:tc>
          <w:tcPr>
            <w:tcW w:w="646" w:type="dxa"/>
            <w:vMerge w:val="continue"/>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宋体" w:hAnsi="宋体" w:cs="宋体"/>
                <w:szCs w:val="21"/>
              </w:rPr>
            </w:pPr>
            <w:r>
              <w:rPr>
                <w:rFonts w:hint="eastAsia" w:ascii="宋体" w:hAnsi="宋体" w:cs="宋体"/>
                <w:szCs w:val="21"/>
              </w:rPr>
              <w:t>理解组织及其环境</w:t>
            </w:r>
          </w:p>
          <w:p>
            <w:pPr>
              <w:spacing w:line="280" w:lineRule="exact"/>
              <w:rPr>
                <w:rFonts w:ascii="宋体" w:hAnsi="宋体" w:cs="宋体"/>
                <w:szCs w:val="21"/>
              </w:rPr>
            </w:pPr>
            <w:r>
              <w:rPr>
                <w:rFonts w:hint="eastAsia" w:ascii="宋体" w:hAnsi="宋体" w:cs="宋体"/>
                <w:szCs w:val="21"/>
              </w:rPr>
              <w:t>总要求</w:t>
            </w:r>
          </w:p>
          <w:p>
            <w:pPr>
              <w:pStyle w:val="2"/>
            </w:pPr>
          </w:p>
          <w:p>
            <w:pPr>
              <w:spacing w:line="280" w:lineRule="exact"/>
              <w:rPr>
                <w:rFonts w:ascii="宋体" w:hAnsi="宋体" w:cs="宋体"/>
                <w:szCs w:val="21"/>
              </w:rPr>
            </w:pPr>
            <w:r>
              <w:rPr>
                <w:rFonts w:hint="eastAsia" w:ascii="宋体" w:hAnsi="宋体" w:cs="宋体"/>
                <w:szCs w:val="21"/>
              </w:rPr>
              <w:t>确定管理体系的范围</w:t>
            </w:r>
          </w:p>
          <w:p>
            <w:pPr>
              <w:pStyle w:val="2"/>
            </w:pPr>
          </w:p>
          <w:p>
            <w:pPr>
              <w:spacing w:line="280" w:lineRule="exact"/>
              <w:rPr>
                <w:rFonts w:ascii="宋体" w:hAnsi="宋体" w:cs="宋体"/>
                <w:szCs w:val="21"/>
              </w:rPr>
            </w:pPr>
          </w:p>
        </w:tc>
        <w:tc>
          <w:tcPr>
            <w:tcW w:w="960" w:type="dxa"/>
          </w:tcPr>
          <w:p>
            <w:pPr>
              <w:spacing w:line="280" w:lineRule="exact"/>
              <w:rPr>
                <w:rFonts w:ascii="宋体" w:hAnsi="宋体" w:cs="宋体"/>
                <w:szCs w:val="21"/>
              </w:rPr>
            </w:pPr>
            <w:r>
              <w:rPr>
                <w:rFonts w:ascii="宋体" w:hAnsi="宋体" w:cs="宋体"/>
                <w:szCs w:val="21"/>
              </w:rPr>
              <w:t>Q/S</w:t>
            </w:r>
            <w:r>
              <w:rPr>
                <w:rFonts w:hint="eastAsia" w:ascii="宋体" w:hAnsi="宋体" w:cs="宋体"/>
                <w:szCs w:val="21"/>
              </w:rPr>
              <w:t xml:space="preserve"> 4.1</w:t>
            </w:r>
          </w:p>
          <w:p>
            <w:pPr>
              <w:spacing w:line="280" w:lineRule="exact"/>
              <w:rPr>
                <w:rFonts w:ascii="宋体" w:hAnsi="宋体" w:cs="宋体"/>
                <w:szCs w:val="21"/>
              </w:rPr>
            </w:pPr>
            <w:r>
              <w:rPr>
                <w:rFonts w:ascii="宋体" w:hAnsi="宋体" w:cs="宋体"/>
                <w:szCs w:val="21"/>
              </w:rPr>
              <w:t>Q/S</w:t>
            </w:r>
            <w:r>
              <w:rPr>
                <w:rFonts w:hint="eastAsia" w:ascii="宋体" w:hAnsi="宋体" w:cs="宋体"/>
                <w:szCs w:val="21"/>
              </w:rPr>
              <w:t xml:space="preserve"> 4.3</w:t>
            </w:r>
          </w:p>
          <w:p>
            <w:pPr>
              <w:pStyle w:val="2"/>
            </w:pPr>
          </w:p>
          <w:p>
            <w:pPr>
              <w:spacing w:line="280" w:lineRule="exact"/>
              <w:rPr>
                <w:rFonts w:ascii="宋体" w:hAnsi="宋体" w:cs="宋体"/>
                <w:szCs w:val="21"/>
              </w:rPr>
            </w:pPr>
            <w:r>
              <w:rPr>
                <w:rFonts w:ascii="宋体" w:hAnsi="宋体" w:cs="宋体"/>
                <w:szCs w:val="21"/>
              </w:rPr>
              <w:t>Q/S</w:t>
            </w:r>
            <w:r>
              <w:rPr>
                <w:rFonts w:hint="eastAsia" w:ascii="宋体" w:hAnsi="宋体" w:cs="宋体"/>
                <w:szCs w:val="21"/>
              </w:rPr>
              <w:t>4.1</w:t>
            </w:r>
          </w:p>
          <w:p>
            <w:pPr>
              <w:pStyle w:val="2"/>
            </w:pPr>
          </w:p>
        </w:tc>
        <w:tc>
          <w:tcPr>
            <w:tcW w:w="10943" w:type="dxa"/>
            <w:vAlign w:val="center"/>
          </w:tcPr>
          <w:p>
            <w:pPr>
              <w:spacing w:line="280" w:lineRule="exact"/>
              <w:ind w:firstLine="420" w:firstLineChars="200"/>
            </w:pPr>
            <w:r>
              <w:rPr>
                <w:rFonts w:hint="eastAsia" w:ascii="宋体" w:hAnsi="宋体" w:cs="宋体"/>
                <w:szCs w:val="21"/>
              </w:rPr>
              <w:t>在确定管理体系范围时公司考虑了以下内容：a各种内部和外部因素；b相关方的要求，包括相关合规义务；c组织的活动、产品和产品；d其组织单元、职能和物理边界。</w:t>
            </w:r>
          </w:p>
          <w:p>
            <w:pPr>
              <w:spacing w:line="280" w:lineRule="exact"/>
              <w:ind w:firstLine="420" w:firstLineChars="200"/>
              <w:jc w:val="left"/>
              <w:rPr>
                <w:rFonts w:ascii="宋体" w:hAnsi="宋体" w:cs="宋体"/>
                <w:szCs w:val="21"/>
              </w:rPr>
            </w:pPr>
            <w:r>
              <w:rPr>
                <w:rFonts w:hint="eastAsia" w:ascii="宋体" w:hAnsi="宋体" w:cs="宋体"/>
                <w:szCs w:val="21"/>
              </w:rPr>
              <w:t>认证范围为：</w:t>
            </w:r>
          </w:p>
          <w:p>
            <w:pPr>
              <w:rPr>
                <w:rFonts w:hint="eastAsia"/>
                <w:color w:val="000000"/>
                <w:szCs w:val="21"/>
              </w:rPr>
            </w:pPr>
            <w:bookmarkStart w:id="0" w:name="审核范围"/>
            <w:r>
              <w:rPr>
                <w:rFonts w:hint="eastAsia" w:ascii="宋体" w:hAnsi="宋体"/>
                <w:szCs w:val="21"/>
              </w:rPr>
              <w:t>O：一般机械零部件的加工所涉及的相关职业健康安全管理活动</w:t>
            </w:r>
          </w:p>
          <w:p>
            <w:pPr>
              <w:rPr>
                <w:rFonts w:hint="eastAsia" w:ascii="宋体" w:hAnsi="宋体"/>
                <w:szCs w:val="21"/>
              </w:rPr>
            </w:pPr>
            <w:r>
              <w:rPr>
                <w:rFonts w:hint="eastAsia" w:ascii="宋体" w:hAnsi="宋体"/>
                <w:szCs w:val="21"/>
              </w:rPr>
              <w:t>Q：一般机械零部件的加工</w:t>
            </w:r>
            <w:bookmarkEnd w:id="0"/>
          </w:p>
          <w:p>
            <w:r>
              <w:rPr>
                <w:rFonts w:hint="eastAsia" w:ascii="宋体" w:hAnsi="宋体" w:cs="宋体"/>
                <w:szCs w:val="21"/>
              </w:rPr>
              <w:t>外包情况：</w:t>
            </w:r>
            <w:r>
              <w:rPr>
                <w:rFonts w:hint="eastAsia"/>
              </w:rPr>
              <w:t>物流运输</w:t>
            </w:r>
            <w:r>
              <w:rPr>
                <w:rFonts w:hint="eastAsia"/>
                <w:lang w:eastAsia="zh-CN"/>
              </w:rPr>
              <w:t>、</w:t>
            </w:r>
            <w:r>
              <w:rPr>
                <w:rFonts w:hint="eastAsia"/>
                <w:lang w:val="en-US" w:eastAsia="zh-CN"/>
              </w:rPr>
              <w:t>焊接、电镀、热处理</w:t>
            </w:r>
          </w:p>
          <w:p>
            <w:pPr>
              <w:spacing w:line="280" w:lineRule="exact"/>
              <w:ind w:firstLine="420" w:firstLineChars="200"/>
              <w:rPr>
                <w:rFonts w:hint="eastAsia" w:ascii="宋体" w:hAnsi="宋体" w:cs="宋体"/>
                <w:szCs w:val="21"/>
                <w:lang w:val="en-US" w:eastAsia="zh-CN"/>
              </w:rPr>
            </w:pPr>
            <w:r>
              <w:rPr>
                <w:rFonts w:hint="eastAsia" w:ascii="宋体" w:hAnsi="宋体" w:cs="宋体"/>
                <w:szCs w:val="21"/>
              </w:rPr>
              <w:t>认证主管部门：综合部</w:t>
            </w:r>
            <w:r>
              <w:rPr>
                <w:rFonts w:hint="eastAsia" w:ascii="宋体" w:hAnsi="宋体" w:cs="宋体"/>
                <w:szCs w:val="21"/>
                <w:lang w:val="en-US" w:eastAsia="zh-CN"/>
              </w:rPr>
              <w:t xml:space="preserve"> </w:t>
            </w:r>
          </w:p>
          <w:p>
            <w:pPr>
              <w:spacing w:line="280" w:lineRule="exact"/>
              <w:ind w:firstLine="420" w:firstLineChars="200"/>
              <w:rPr>
                <w:rFonts w:ascii="宋体" w:hAnsi="宋体" w:cs="宋体"/>
                <w:szCs w:val="21"/>
              </w:rPr>
            </w:pP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160" w:type="dxa"/>
          </w:tcPr>
          <w:p>
            <w:pPr>
              <w:spacing w:line="280" w:lineRule="exact"/>
              <w:rPr>
                <w:rFonts w:ascii="宋体" w:hAnsi="宋体" w:cs="宋体"/>
                <w:szCs w:val="21"/>
              </w:rPr>
            </w:pPr>
            <w:r>
              <w:rPr>
                <w:rFonts w:hint="eastAsia" w:ascii="宋体" w:hAnsi="宋体" w:cs="宋体"/>
                <w:szCs w:val="21"/>
              </w:rPr>
              <w:t>理解相关方的需求和期望</w:t>
            </w:r>
          </w:p>
          <w:p>
            <w:pPr>
              <w:spacing w:line="280" w:lineRule="exact"/>
              <w:rPr>
                <w:rFonts w:ascii="宋体" w:hAnsi="宋体" w:cs="宋体"/>
                <w:szCs w:val="21"/>
              </w:rPr>
            </w:pPr>
            <w:r>
              <w:rPr>
                <w:rFonts w:hint="eastAsia" w:ascii="宋体" w:hAnsi="宋体" w:cs="宋体"/>
                <w:szCs w:val="21"/>
              </w:rPr>
              <w:t>管理体系及其过程</w:t>
            </w:r>
          </w:p>
          <w:p>
            <w:pPr>
              <w:spacing w:line="280" w:lineRule="exact"/>
              <w:rPr>
                <w:rFonts w:ascii="宋体" w:hAnsi="宋体" w:cs="宋体"/>
                <w:szCs w:val="21"/>
              </w:rPr>
            </w:pPr>
          </w:p>
        </w:tc>
        <w:tc>
          <w:tcPr>
            <w:tcW w:w="960" w:type="dxa"/>
          </w:tcPr>
          <w:p>
            <w:pPr>
              <w:spacing w:line="280" w:lineRule="exact"/>
              <w:rPr>
                <w:rFonts w:hint="eastAsia" w:ascii="宋体" w:hAnsi="宋体" w:cs="宋体"/>
                <w:szCs w:val="21"/>
              </w:rPr>
            </w:pPr>
            <w:r>
              <w:rPr>
                <w:rFonts w:ascii="宋体" w:hAnsi="宋体" w:cs="宋体"/>
                <w:szCs w:val="21"/>
              </w:rPr>
              <w:t>Q/S</w:t>
            </w:r>
            <w:r>
              <w:rPr>
                <w:rFonts w:hint="eastAsia" w:ascii="宋体" w:hAnsi="宋体" w:cs="宋体"/>
                <w:szCs w:val="21"/>
              </w:rPr>
              <w:t>4.2</w:t>
            </w:r>
          </w:p>
          <w:p>
            <w:pPr>
              <w:pStyle w:val="2"/>
            </w:pPr>
          </w:p>
          <w:p>
            <w:pPr>
              <w:spacing w:line="280" w:lineRule="exact"/>
              <w:rPr>
                <w:rFonts w:ascii="宋体" w:hAnsi="宋体" w:cs="宋体"/>
                <w:szCs w:val="21"/>
              </w:rPr>
            </w:pPr>
            <w:r>
              <w:rPr>
                <w:rFonts w:ascii="宋体" w:hAnsi="宋体" w:cs="宋体"/>
                <w:szCs w:val="21"/>
              </w:rPr>
              <w:t>Q/S</w:t>
            </w:r>
            <w:r>
              <w:rPr>
                <w:rFonts w:hint="eastAsia" w:ascii="宋体" w:hAnsi="宋体" w:cs="宋体"/>
                <w:szCs w:val="21"/>
              </w:rPr>
              <w:t>4.4</w:t>
            </w:r>
          </w:p>
          <w:p>
            <w:pPr>
              <w:pStyle w:val="2"/>
            </w:pPr>
            <w:r>
              <w:t>Q6.3</w:t>
            </w:r>
          </w:p>
          <w:p>
            <w:pPr>
              <w:spacing w:line="280" w:lineRule="exact"/>
              <w:rPr>
                <w:rFonts w:ascii="宋体" w:hAnsi="宋体" w:cs="宋体"/>
                <w:szCs w:val="21"/>
              </w:rPr>
            </w:pPr>
          </w:p>
        </w:tc>
        <w:tc>
          <w:tcPr>
            <w:tcW w:w="10943" w:type="dxa"/>
            <w:vAlign w:val="center"/>
          </w:tcPr>
          <w:p>
            <w:pPr>
              <w:spacing w:line="280" w:lineRule="exact"/>
              <w:ind w:firstLine="420" w:firstLineChars="200"/>
              <w:rPr>
                <w:rFonts w:ascii="宋体" w:hAnsi="宋体" w:cs="宋体"/>
                <w:szCs w:val="21"/>
              </w:rPr>
            </w:pPr>
            <w:r>
              <w:rPr>
                <w:rFonts w:hint="eastAsia" w:ascii="宋体" w:hAnsi="宋体" w:cs="宋体"/>
                <w:szCs w:val="21"/>
              </w:rPr>
              <w:t>相关方的需求和期望得到充分理解，可以帮助本公司更好的建立公司方针和目标，做到目的更明确。以满足相关方的要求并争取做到更高的期望值。</w:t>
            </w:r>
          </w:p>
          <w:p>
            <w:pPr>
              <w:spacing w:line="280" w:lineRule="exact"/>
              <w:ind w:firstLine="420" w:firstLineChars="200"/>
              <w:rPr>
                <w:rFonts w:ascii="宋体" w:hAnsi="宋体" w:cs="宋体"/>
                <w:szCs w:val="21"/>
              </w:rPr>
            </w:pPr>
            <w:r>
              <w:rPr>
                <w:rFonts w:hint="eastAsia" w:ascii="宋体" w:hAnsi="宋体" w:cs="宋体"/>
                <w:szCs w:val="21"/>
              </w:rPr>
              <w:t>公司按照标准建立了文件化的管理体系，编制了新版的管理手册，流程性文件、管理制度、作业指导书、检验要求、合规性评价等；并对各个过程的监控进行了基本记录，形成了相关文件化信息，为过程运行提供了支持，以证实过程按照策划执行。</w:t>
            </w:r>
          </w:p>
          <w:p>
            <w:pPr>
              <w:spacing w:line="280" w:lineRule="exact"/>
              <w:ind w:firstLine="420" w:firstLineChars="200"/>
              <w:rPr>
                <w:rFonts w:ascii="宋体" w:hAnsi="宋体" w:cs="宋体"/>
                <w:szCs w:val="21"/>
              </w:rPr>
            </w:pPr>
            <w:r>
              <w:rPr>
                <w:rFonts w:hint="eastAsia"/>
              </w:rPr>
              <w:t>涉及质量管理体系变更的情况，应充分考虑变更的风险，如职权分配、体系完整性、前期的风险识别与控制措施的有效性评价等。</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方针</w:t>
            </w: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制定方针</w:t>
            </w: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沟通方针</w:t>
            </w:r>
          </w:p>
        </w:tc>
        <w:tc>
          <w:tcPr>
            <w:tcW w:w="960" w:type="dxa"/>
          </w:tcPr>
          <w:p>
            <w:pPr>
              <w:spacing w:line="280" w:lineRule="exact"/>
              <w:rPr>
                <w:rFonts w:asciiTheme="minorEastAsia" w:hAnsiTheme="minorEastAsia" w:eastAsiaTheme="minorEastAsia" w:cstheme="minorEastAsia"/>
                <w:szCs w:val="21"/>
              </w:rPr>
            </w:pPr>
            <w:r>
              <w:rPr>
                <w:rFonts w:asciiTheme="minorEastAsia" w:hAnsiTheme="minorEastAsia" w:eastAsiaTheme="minorEastAsia" w:cstheme="minorEastAsia"/>
                <w:szCs w:val="21"/>
              </w:rPr>
              <w:t>Q/S</w:t>
            </w:r>
            <w:r>
              <w:rPr>
                <w:rFonts w:hint="eastAsia" w:asciiTheme="minorEastAsia" w:hAnsiTheme="minorEastAsia" w:eastAsiaTheme="minorEastAsia" w:cstheme="minorEastAsia"/>
                <w:szCs w:val="21"/>
              </w:rPr>
              <w:t>5.2</w:t>
            </w:r>
          </w:p>
          <w:p>
            <w:pPr>
              <w:snapToGrid w:val="0"/>
              <w:spacing w:line="280" w:lineRule="exact"/>
              <w:rPr>
                <w:rFonts w:asciiTheme="minorEastAsia" w:hAnsiTheme="minorEastAsia" w:eastAsiaTheme="minorEastAsia" w:cstheme="minorEastAsia"/>
                <w:szCs w:val="21"/>
              </w:rPr>
            </w:pPr>
          </w:p>
          <w:p>
            <w:pPr>
              <w:spacing w:line="280" w:lineRule="exact"/>
              <w:rPr>
                <w:rFonts w:asciiTheme="minorEastAsia" w:hAnsiTheme="minorEastAsia" w:eastAsiaTheme="minorEastAsia" w:cstheme="minorEastAsia"/>
                <w:szCs w:val="21"/>
              </w:rPr>
            </w:pPr>
          </w:p>
          <w:p>
            <w:pPr>
              <w:spacing w:line="280" w:lineRule="exact"/>
              <w:rPr>
                <w:rFonts w:asciiTheme="minorEastAsia" w:hAnsiTheme="minorEastAsia" w:eastAsiaTheme="minorEastAsia" w:cstheme="minorEastAsia"/>
                <w:color w:val="FF0000"/>
                <w:szCs w:val="21"/>
              </w:rPr>
            </w:pPr>
          </w:p>
        </w:tc>
        <w:tc>
          <w:tcPr>
            <w:tcW w:w="10943"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该公司管理方针为：</w:t>
            </w:r>
          </w:p>
          <w:p>
            <w:pPr>
              <w:rPr>
                <w:rFonts w:hint="eastAsia"/>
              </w:rPr>
            </w:pPr>
            <w:r>
              <w:rPr>
                <w:rFonts w:hint="eastAsia"/>
              </w:rPr>
              <w:t>质量方针：</w:t>
            </w:r>
          </w:p>
          <w:p>
            <w:pPr>
              <w:rPr>
                <w:rFonts w:hint="eastAsia"/>
              </w:rPr>
            </w:pPr>
            <w:r>
              <w:rPr>
                <w:rFonts w:hint="eastAsia"/>
              </w:rPr>
              <w:t xml:space="preserve">       优质产品   顾客满意    守法经营   持续改进</w:t>
            </w:r>
          </w:p>
          <w:p>
            <w:pPr>
              <w:rPr>
                <w:rFonts w:hint="eastAsia"/>
              </w:rPr>
            </w:pPr>
            <w:r>
              <w:rPr>
                <w:rFonts w:hint="eastAsia"/>
              </w:rPr>
              <w:t>职业健康安全方针：</w:t>
            </w:r>
          </w:p>
          <w:p>
            <w:pPr>
              <w:rPr>
                <w:rFonts w:hint="eastAsia"/>
              </w:rPr>
            </w:pPr>
            <w:r>
              <w:rPr>
                <w:rFonts w:hint="eastAsia"/>
              </w:rPr>
              <w:t>消除隐患   保障健康   遵规守法   持续改进</w:t>
            </w:r>
          </w:p>
          <w:p>
            <w:pPr>
              <w:spacing w:line="280" w:lineRule="exact"/>
              <w:ind w:firstLine="420" w:firstLineChars="200"/>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szCs w:val="21"/>
              </w:rPr>
              <w:t>以上管理方针通过文件、培训等形式将公司管理方针传达给所有为公司工作或代表公司的人员，相关方也可通过厂区行政部获取公司管理方针。</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960" w:type="dxa"/>
          </w:tcPr>
          <w:p>
            <w:pPr>
              <w:spacing w:line="280" w:lineRule="exact"/>
              <w:rPr>
                <w:rFonts w:ascii="宋体" w:cs="宋体"/>
                <w:szCs w:val="21"/>
              </w:rPr>
            </w:pPr>
            <w:r>
              <w:rPr>
                <w:rFonts w:ascii="宋体" w:cs="宋体"/>
                <w:szCs w:val="21"/>
              </w:rPr>
              <w:t>Q/S5.3</w:t>
            </w:r>
          </w:p>
          <w:p>
            <w:pPr>
              <w:pStyle w:val="2"/>
              <w:rPr>
                <w:rFonts w:hint="default" w:eastAsia="宋体"/>
                <w:lang w:val="en-US" w:eastAsia="zh-CN"/>
              </w:rPr>
            </w:pPr>
            <w:r>
              <w:rPr>
                <w:rFonts w:hint="eastAsia" w:ascii="宋体" w:cs="宋体"/>
                <w:szCs w:val="21"/>
                <w:lang w:val="en-US" w:eastAsia="zh-CN"/>
              </w:rPr>
              <w:t>O 5.4</w:t>
            </w:r>
          </w:p>
          <w:p>
            <w:pPr>
              <w:spacing w:line="280" w:lineRule="exact"/>
              <w:rPr>
                <w:rFonts w:ascii="宋体" w:hAnsi="宋体" w:cs="宋体"/>
                <w:color w:val="FF0000"/>
                <w:szCs w:val="21"/>
              </w:rPr>
            </w:pPr>
          </w:p>
        </w:tc>
        <w:tc>
          <w:tcPr>
            <w:tcW w:w="10943" w:type="dxa"/>
            <w:vAlign w:val="center"/>
          </w:tcPr>
          <w:p>
            <w:pPr>
              <w:spacing w:line="280" w:lineRule="exact"/>
              <w:ind w:firstLine="420" w:firstLineChars="200"/>
              <w:rPr>
                <w:rFonts w:ascii="宋体" w:hAnsi="宋体" w:cs="宋体"/>
                <w:szCs w:val="21"/>
              </w:rPr>
            </w:pPr>
            <w:r>
              <w:rPr>
                <w:rFonts w:hint="eastAsia" w:ascii="宋体" w:hAnsi="宋体" w:cs="宋体"/>
                <w:szCs w:val="21"/>
              </w:rPr>
              <w:t>公司确定了公司机构并规定了各岗位人员职责、权限和相互关系，并在公司内对各级员工进行了必要的传达。</w:t>
            </w:r>
          </w:p>
          <w:p>
            <w:pPr>
              <w:spacing w:line="280" w:lineRule="exact"/>
              <w:ind w:firstLine="420" w:firstLineChars="200"/>
              <w:rPr>
                <w:rFonts w:hint="default" w:ascii="宋体" w:hAnsi="宋体" w:eastAsia="宋体" w:cs="宋体"/>
                <w:color w:val="FF0000"/>
                <w:szCs w:val="21"/>
                <w:lang w:val="en-US" w:eastAsia="zh-CN"/>
              </w:rPr>
            </w:pPr>
            <w:r>
              <w:rPr>
                <w:rFonts w:hint="eastAsia" w:ascii="宋体" w:hAnsi="宋体" w:cs="宋体"/>
                <w:szCs w:val="21"/>
                <w:lang w:val="en-US" w:eastAsia="zh-CN"/>
              </w:rPr>
              <w:t>任命管代</w:t>
            </w:r>
            <w:r>
              <w:rPr>
                <w:rFonts w:hint="eastAsia"/>
              </w:rPr>
              <w:t>李黄水</w:t>
            </w:r>
            <w:r>
              <w:rPr>
                <w:rFonts w:hint="eastAsia"/>
              </w:rPr>
              <w:tab/>
            </w:r>
            <w:r>
              <w:rPr>
                <w:rFonts w:hint="eastAsia"/>
                <w:lang w:eastAsia="zh-CN"/>
              </w:rPr>
              <w:t>、</w:t>
            </w:r>
            <w:r>
              <w:rPr>
                <w:rFonts w:hint="eastAsia"/>
                <w:lang w:val="en-US" w:eastAsia="zh-CN"/>
              </w:rPr>
              <w:t>职业健康安全代表</w:t>
            </w:r>
            <w:r>
              <w:rPr>
                <w:rFonts w:hint="eastAsia"/>
              </w:rPr>
              <w:t>黄海祥</w:t>
            </w:r>
            <w:r>
              <w:rPr>
                <w:rFonts w:hint="eastAsia"/>
                <w:lang w:eastAsia="zh-CN"/>
              </w:rPr>
              <w:t>，</w:t>
            </w:r>
            <w:r>
              <w:rPr>
                <w:rFonts w:hint="eastAsia"/>
                <w:lang w:val="en-US" w:eastAsia="zh-CN"/>
              </w:rPr>
              <w:t>有任命书，及相应职责</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2160"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960" w:type="dxa"/>
          </w:tcPr>
          <w:p>
            <w:pPr>
              <w:spacing w:line="280" w:lineRule="exact"/>
              <w:rPr>
                <w:rFonts w:ascii="宋体"/>
                <w:szCs w:val="21"/>
              </w:rPr>
            </w:pPr>
            <w:r>
              <w:rPr>
                <w:rFonts w:ascii="宋体" w:cs="宋体"/>
                <w:szCs w:val="21"/>
              </w:rPr>
              <w:t>Q/S6.1.1</w:t>
            </w:r>
          </w:p>
          <w:p>
            <w:pPr>
              <w:spacing w:line="280" w:lineRule="exact"/>
              <w:rPr>
                <w:rFonts w:ascii="宋体" w:hAnsi="宋体" w:cs="宋体"/>
                <w:szCs w:val="21"/>
              </w:rPr>
            </w:pPr>
          </w:p>
          <w:p>
            <w:pPr>
              <w:spacing w:line="280" w:lineRule="exact"/>
              <w:rPr>
                <w:rFonts w:ascii="宋体" w:hAnsi="宋体" w:cs="宋体"/>
                <w:color w:val="FF0000"/>
                <w:szCs w:val="21"/>
              </w:rPr>
            </w:pPr>
          </w:p>
        </w:tc>
        <w:tc>
          <w:tcPr>
            <w:tcW w:w="10943" w:type="dxa"/>
            <w:vAlign w:val="center"/>
          </w:tcPr>
          <w:p>
            <w:pPr>
              <w:numPr>
                <w:numId w:val="0"/>
              </w:numPr>
              <w:spacing w:line="280" w:lineRule="exact"/>
              <w:rPr>
                <w:rFonts w:ascii="宋体" w:hAnsi="宋体" w:cs="宋体"/>
                <w:szCs w:val="21"/>
              </w:rPr>
            </w:pPr>
            <w:r>
              <w:rPr>
                <w:rFonts w:hint="eastAsia" w:ascii="宋体" w:hAnsi="宋体" w:cs="宋体"/>
                <w:szCs w:val="21"/>
              </w:rPr>
              <w:t>提供了“风险和机遇调查表”，将需要应对的风险和机遇进行风险分析确定风险级别（一般风险、高风险），在管理体系所确定的过程（客户开发、供应商的要求等）中，已认真交流风险如战略失误、环保及人力资源成本上升、竞争不断加剧等，通过差异化策略提高竞争力。效果待观察。机遇主要是现在社会需求不断增多。</w:t>
            </w:r>
          </w:p>
          <w:p>
            <w:pPr>
              <w:numPr>
                <w:ilvl w:val="0"/>
                <w:numId w:val="1"/>
              </w:numPr>
              <w:spacing w:line="280" w:lineRule="exact"/>
              <w:ind w:firstLine="420" w:firstLineChars="200"/>
              <w:rPr>
                <w:rFonts w:ascii="宋体" w:hAnsi="宋体" w:cs="宋体"/>
                <w:szCs w:val="21"/>
              </w:rPr>
            </w:pPr>
            <w:r>
              <w:rPr>
                <w:rFonts w:hint="eastAsia" w:ascii="宋体" w:hAnsi="宋体" w:cs="宋体"/>
                <w:szCs w:val="21"/>
              </w:rPr>
              <w:t>外部因素主要有：a)社会和文化、政治、法律、监管、金融、技术、经济、自然环境和竞争环境；b)影响公司管理目标的主要驱动和趋势；c)与外部利益相关者的价值观的关系。</w:t>
            </w:r>
          </w:p>
          <w:p>
            <w:pPr>
              <w:numPr>
                <w:ilvl w:val="0"/>
                <w:numId w:val="1"/>
              </w:numPr>
              <w:spacing w:line="280" w:lineRule="exact"/>
              <w:ind w:firstLine="420" w:firstLineChars="200"/>
              <w:rPr>
                <w:rFonts w:ascii="宋体" w:hAnsi="宋体" w:cs="宋体"/>
                <w:szCs w:val="21"/>
              </w:rPr>
            </w:pPr>
            <w:r>
              <w:rPr>
                <w:rFonts w:hint="eastAsia" w:ascii="宋体" w:hAnsi="宋体" w:cs="宋体"/>
                <w:szCs w:val="21"/>
              </w:rPr>
              <w:t>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pStyle w:val="2"/>
            </w:pPr>
            <w:r>
              <w:rPr>
                <w:rFonts w:hint="eastAsia" w:ascii="宋体" w:hAnsi="宋体" w:cs="宋体"/>
                <w:szCs w:val="21"/>
              </w:rPr>
              <w:t>在策划管理体系时考虑了风险和机遇以及相应的应对措施，识别了公司目前主要的风险</w:t>
            </w:r>
          </w:p>
          <w:p>
            <w:pPr>
              <w:spacing w:line="280" w:lineRule="exact"/>
              <w:ind w:firstLine="420" w:firstLineChars="200"/>
              <w:rPr>
                <w:rFonts w:ascii="宋体" w:hAnsi="宋体" w:cs="宋体"/>
                <w:color w:val="FF0000"/>
                <w:szCs w:val="21"/>
              </w:rPr>
            </w:pP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960" w:type="dxa"/>
          </w:tcPr>
          <w:p>
            <w:pPr>
              <w:spacing w:line="280" w:lineRule="exact"/>
              <w:rPr>
                <w:szCs w:val="21"/>
              </w:rPr>
            </w:pPr>
            <w:r>
              <w:rPr>
                <w:szCs w:val="21"/>
              </w:rPr>
              <w:t>Q/S</w:t>
            </w:r>
            <w:r>
              <w:rPr>
                <w:rFonts w:hint="eastAsia"/>
                <w:szCs w:val="21"/>
              </w:rPr>
              <w:t>6.2</w:t>
            </w:r>
          </w:p>
          <w:p>
            <w:pPr>
              <w:spacing w:line="280" w:lineRule="exact"/>
              <w:rPr>
                <w:rFonts w:ascii="宋体" w:hAnsi="宋体" w:cs="宋体"/>
                <w:color w:val="FF0000"/>
                <w:szCs w:val="21"/>
              </w:rPr>
            </w:pPr>
          </w:p>
        </w:tc>
        <w:tc>
          <w:tcPr>
            <w:tcW w:w="10943" w:type="dxa"/>
            <w:vAlign w:val="center"/>
          </w:tcPr>
          <w:p>
            <w:pPr>
              <w:spacing w:line="280" w:lineRule="exact"/>
              <w:ind w:left="420" w:leftChars="200"/>
              <w:rPr>
                <w:rFonts w:ascii="宋体" w:hAnsi="宋体" w:cs="宋体"/>
                <w:szCs w:val="21"/>
              </w:rPr>
            </w:pPr>
            <w:r>
              <w:rPr>
                <w:rFonts w:hint="eastAsia" w:ascii="宋体" w:hAnsi="宋体" w:cs="宋体"/>
                <w:szCs w:val="21"/>
              </w:rPr>
              <w:t>管理目标涉及质量、职业健康安全，具体为：</w:t>
            </w:r>
          </w:p>
          <w:p>
            <w:pPr>
              <w:spacing w:line="280" w:lineRule="exact"/>
              <w:ind w:firstLine="420" w:firstLineChars="200"/>
              <w:rPr>
                <w:rFonts w:hint="eastAsia" w:ascii="宋体" w:hAnsi="宋体" w:cs="宋体"/>
                <w:szCs w:val="21"/>
              </w:rPr>
            </w:pPr>
            <w:r>
              <w:rPr>
                <w:rFonts w:hint="eastAsia" w:ascii="宋体" w:hAnsi="宋体" w:cs="宋体"/>
                <w:szCs w:val="21"/>
              </w:rPr>
              <w:t>Q质量目标是：</w:t>
            </w:r>
          </w:p>
          <w:p>
            <w:pPr>
              <w:spacing w:line="280" w:lineRule="exact"/>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产品交付合格率100</w:t>
            </w:r>
            <w:r>
              <w:rPr>
                <w:rFonts w:hint="eastAsia" w:ascii="宋体" w:hAnsi="宋体" w:cs="宋体"/>
                <w:szCs w:val="21"/>
              </w:rPr>
              <w:t>%；</w:t>
            </w:r>
          </w:p>
          <w:p>
            <w:pPr>
              <w:spacing w:line="280" w:lineRule="exact"/>
              <w:ind w:firstLine="420" w:firstLineChars="200"/>
              <w:rPr>
                <w:rFonts w:hint="eastAsia" w:ascii="宋体" w:hAnsi="宋体" w:eastAsia="宋体" w:cs="宋体"/>
                <w:b/>
              </w:rPr>
            </w:pPr>
            <w:r>
              <w:rPr>
                <w:rFonts w:hint="eastAsia" w:ascii="宋体" w:hAnsi="宋体" w:cs="宋体"/>
                <w:szCs w:val="21"/>
              </w:rPr>
              <w:t>2）顾客满意率</w:t>
            </w:r>
            <w:r>
              <w:rPr>
                <w:rFonts w:hint="eastAsia" w:ascii="宋体" w:hAnsi="宋体" w:cs="宋体"/>
                <w:szCs w:val="21"/>
                <w:lang w:val="en-US" w:eastAsia="zh-CN"/>
              </w:rPr>
              <w:t>≧</w:t>
            </w:r>
            <w:r>
              <w:rPr>
                <w:rFonts w:hint="eastAsia" w:ascii="宋体" w:hAnsi="宋体" w:cs="宋体"/>
                <w:szCs w:val="21"/>
              </w:rPr>
              <w:t>9</w:t>
            </w:r>
            <w:r>
              <w:rPr>
                <w:rFonts w:hint="eastAsia" w:ascii="宋体" w:hAnsi="宋体" w:cs="宋体"/>
                <w:szCs w:val="21"/>
                <w:lang w:val="en-US" w:eastAsia="zh-CN"/>
              </w:rPr>
              <w:t>5</w:t>
            </w:r>
            <w:r>
              <w:rPr>
                <w:rFonts w:hint="eastAsia" w:ascii="宋体" w:hAnsi="宋体" w:cs="宋体"/>
                <w:szCs w:val="21"/>
              </w:rPr>
              <w:t>%以上；</w:t>
            </w:r>
          </w:p>
          <w:p>
            <w:pPr>
              <w:spacing w:line="280" w:lineRule="exact"/>
              <w:ind w:firstLine="420" w:firstLineChars="200"/>
              <w:rPr>
                <w:rFonts w:hint="eastAsia" w:ascii="宋体" w:hAnsi="宋体" w:cs="宋体"/>
                <w:szCs w:val="21"/>
              </w:rPr>
            </w:pPr>
            <w:r>
              <w:rPr>
                <w:rFonts w:hint="eastAsia" w:ascii="宋体" w:hAnsi="宋体" w:cs="宋体"/>
                <w:szCs w:val="21"/>
                <w:lang w:val="en-US" w:eastAsia="zh-CN"/>
              </w:rPr>
              <w:t>职业健康安全</w:t>
            </w:r>
            <w:r>
              <w:rPr>
                <w:rFonts w:hint="eastAsia" w:ascii="宋体" w:hAnsi="宋体" w:cs="宋体"/>
                <w:szCs w:val="21"/>
              </w:rPr>
              <w:t>目标</w:t>
            </w:r>
          </w:p>
          <w:p>
            <w:pPr>
              <w:spacing w:line="280" w:lineRule="exact"/>
              <w:ind w:firstLine="420" w:firstLineChars="200"/>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）火灾爆炸事故0发生；</w:t>
            </w:r>
          </w:p>
          <w:p>
            <w:pPr>
              <w:spacing w:line="280" w:lineRule="exact"/>
              <w:ind w:firstLine="420" w:firstLineChars="200"/>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szCs w:val="21"/>
                <w:lang w:val="en-US" w:eastAsia="zh-CN"/>
              </w:rPr>
              <w:t>触电</w:t>
            </w:r>
            <w:r>
              <w:rPr>
                <w:rFonts w:hint="eastAsia" w:ascii="宋体" w:hAnsi="宋体" w:cs="宋体"/>
                <w:szCs w:val="21"/>
              </w:rPr>
              <w:t>事故0发生；</w:t>
            </w:r>
          </w:p>
          <w:p>
            <w:pPr>
              <w:spacing w:line="280" w:lineRule="exact"/>
              <w:ind w:firstLine="420" w:firstLineChars="200"/>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）重大责任交通事故为零；</w:t>
            </w:r>
          </w:p>
          <w:p>
            <w:pPr>
              <w:spacing w:line="28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4）死亡及重伤事故为0，轻伤事故≦2起/年；</w:t>
            </w:r>
          </w:p>
          <w:p>
            <w:pPr>
              <w:pStyle w:val="2"/>
              <w:rPr>
                <w:rFonts w:hint="eastAsia"/>
              </w:rPr>
            </w:pPr>
          </w:p>
          <w:p>
            <w:pPr>
              <w:spacing w:line="280" w:lineRule="exact"/>
              <w:rPr>
                <w:rFonts w:ascii="宋体" w:hAnsi="宋体" w:cs="宋体"/>
                <w:szCs w:val="21"/>
              </w:rPr>
            </w:pPr>
            <w:r>
              <w:rPr>
                <w:rFonts w:hint="eastAsia" w:ascii="宋体" w:hAnsi="宋体"/>
                <w:b/>
                <w:szCs w:val="21"/>
              </w:rPr>
              <w:t xml:space="preserve">    </w:t>
            </w:r>
            <w:r>
              <w:rPr>
                <w:rFonts w:hint="eastAsia" w:ascii="宋体" w:hAnsi="宋体" w:cs="宋体"/>
                <w:szCs w:val="21"/>
              </w:rPr>
              <w:t>目标可测量，与公司管理方针一致。</w:t>
            </w:r>
          </w:p>
          <w:p>
            <w:pPr>
              <w:spacing w:line="280" w:lineRule="exact"/>
              <w:ind w:firstLine="420" w:firstLineChars="200"/>
              <w:rPr>
                <w:rFonts w:ascii="宋体" w:hAnsi="宋体" w:cs="宋体"/>
                <w:kern w:val="0"/>
                <w:szCs w:val="21"/>
              </w:rPr>
            </w:pPr>
            <w:r>
              <w:rPr>
                <w:rFonts w:hint="eastAsia" w:ascii="宋体" w:hAnsi="宋体" w:cs="宋体"/>
                <w:szCs w:val="21"/>
              </w:rPr>
              <w:t>针对不可接受风险制订了管理方案并予以实施，基本有效，详见</w:t>
            </w:r>
            <w:r>
              <w:rPr>
                <w:rFonts w:hint="eastAsia" w:ascii="宋体" w:hAnsi="宋体" w:cs="宋体"/>
                <w:szCs w:val="21"/>
                <w:lang w:val="en-US" w:eastAsia="zh-CN"/>
              </w:rPr>
              <w:t>各部门</w:t>
            </w:r>
            <w:r>
              <w:rPr>
                <w:rFonts w:hint="eastAsia" w:ascii="宋体" w:hAnsi="宋体" w:cs="宋体"/>
                <w:szCs w:val="21"/>
              </w:rPr>
              <w:t>该条款审核记录。</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280" w:lineRule="exact"/>
              <w:rPr>
                <w:rFonts w:ascii="宋体" w:hAnsi="宋体" w:cs="宋体"/>
                <w:szCs w:val="21"/>
              </w:rPr>
            </w:pPr>
            <w:r>
              <w:rPr>
                <w:rFonts w:hint="eastAsia" w:ascii="宋体" w:hAnsi="宋体" w:cs="宋体"/>
                <w:szCs w:val="21"/>
              </w:rPr>
              <w:t>资源、总则</w:t>
            </w:r>
          </w:p>
          <w:p>
            <w:pPr>
              <w:spacing w:line="280" w:lineRule="exact"/>
              <w:rPr>
                <w:rFonts w:ascii="宋体" w:hAnsi="宋体" w:cs="宋体"/>
                <w:szCs w:val="21"/>
              </w:rPr>
            </w:pPr>
          </w:p>
        </w:tc>
        <w:tc>
          <w:tcPr>
            <w:tcW w:w="960" w:type="dxa"/>
          </w:tcPr>
          <w:p>
            <w:pPr>
              <w:spacing w:line="280" w:lineRule="exact"/>
              <w:rPr>
                <w:szCs w:val="21"/>
              </w:rPr>
            </w:pPr>
            <w:r>
              <w:rPr>
                <w:szCs w:val="21"/>
              </w:rPr>
              <w:t>Q/S</w:t>
            </w:r>
            <w:r>
              <w:rPr>
                <w:rFonts w:hint="eastAsia"/>
                <w:szCs w:val="21"/>
              </w:rPr>
              <w:t>7.1</w:t>
            </w:r>
          </w:p>
          <w:p>
            <w:pPr>
              <w:spacing w:line="280" w:lineRule="exact"/>
              <w:rPr>
                <w:rFonts w:ascii="宋体" w:hAnsi="宋体" w:cs="宋体"/>
                <w:color w:val="FF0000"/>
                <w:szCs w:val="21"/>
              </w:rPr>
            </w:pPr>
          </w:p>
        </w:tc>
        <w:tc>
          <w:tcPr>
            <w:tcW w:w="10943" w:type="dxa"/>
            <w:vAlign w:val="center"/>
          </w:tcPr>
          <w:p>
            <w:pPr>
              <w:spacing w:line="280" w:lineRule="exact"/>
              <w:ind w:firstLine="420" w:firstLineChars="200"/>
              <w:rPr>
                <w:rFonts w:hint="eastAsia" w:ascii="宋体" w:hAnsi="宋体" w:cs="宋体"/>
                <w:szCs w:val="21"/>
              </w:rPr>
            </w:pPr>
            <w:r>
              <w:rPr>
                <w:rFonts w:hint="eastAsia" w:ascii="宋体" w:hAnsi="宋体" w:cs="宋体"/>
                <w:szCs w:val="21"/>
              </w:rPr>
              <w:t>查公司配备的人力资源，公司总人数</w:t>
            </w:r>
            <w:r>
              <w:rPr>
                <w:rFonts w:hint="eastAsia" w:ascii="宋体" w:hAnsi="宋体" w:cs="宋体"/>
                <w:szCs w:val="21"/>
                <w:lang w:val="en-US" w:eastAsia="zh-CN"/>
              </w:rPr>
              <w:t>53</w:t>
            </w:r>
            <w:r>
              <w:rPr>
                <w:rFonts w:hint="eastAsia" w:ascii="宋体" w:hAnsi="宋体" w:cs="宋体"/>
                <w:szCs w:val="21"/>
              </w:rPr>
              <w:t>人.</w:t>
            </w:r>
          </w:p>
          <w:p>
            <w:pPr>
              <w:pStyle w:val="2"/>
              <w:rPr>
                <w:rFonts w:hint="eastAsia" w:ascii="宋体" w:hAnsi="宋体" w:cs="Times New Roman"/>
                <w:color w:val="auto"/>
                <w:kern w:val="2"/>
                <w:sz w:val="18"/>
                <w:szCs w:val="22"/>
                <w:lang w:val="en-US" w:eastAsia="zh-CN" w:bidi="ar-SA"/>
              </w:rPr>
            </w:pPr>
            <w:r>
              <w:rPr>
                <w:rFonts w:hint="eastAsia" w:ascii="宋体" w:hAnsi="宋体" w:cs="宋体"/>
                <w:szCs w:val="21"/>
                <w:lang w:val="en-US" w:eastAsia="zh-CN"/>
              </w:rPr>
              <w:t>生产设备：</w:t>
            </w:r>
            <w:r>
              <w:rPr>
                <w:rFonts w:hint="eastAsia" w:ascii="宋体" w:hAnsi="宋体" w:cs="Times New Roman"/>
                <w:color w:val="auto"/>
                <w:kern w:val="2"/>
                <w:sz w:val="18"/>
                <w:szCs w:val="22"/>
                <w:lang w:val="en-US" w:eastAsia="zh-CN" w:bidi="ar-SA"/>
              </w:rPr>
              <w:t>车床、铣床、数控加工中心、钻床等</w:t>
            </w:r>
          </w:p>
          <w:p>
            <w:pPr>
              <w:pStyle w:val="2"/>
              <w:rPr>
                <w:rFonts w:hint="eastAsia" w:ascii="宋体" w:hAnsi="宋体" w:cs="Times New Roman"/>
                <w:color w:val="auto"/>
                <w:kern w:val="2"/>
                <w:sz w:val="18"/>
                <w:szCs w:val="22"/>
                <w:lang w:val="en-US" w:eastAsia="zh-CN" w:bidi="ar-SA"/>
              </w:rPr>
            </w:pPr>
            <w:r>
              <w:rPr>
                <w:rFonts w:hint="eastAsia" w:ascii="宋体" w:hAnsi="宋体" w:cs="Times New Roman"/>
                <w:color w:val="auto"/>
                <w:kern w:val="2"/>
                <w:sz w:val="18"/>
                <w:szCs w:val="22"/>
                <w:lang w:val="en-US" w:eastAsia="zh-CN" w:bidi="ar-SA"/>
              </w:rPr>
              <w:t>监视设备：卡尺、千分尺、硬度计等</w:t>
            </w:r>
          </w:p>
          <w:p>
            <w:pPr>
              <w:pStyle w:val="2"/>
              <w:rPr>
                <w:rFonts w:hint="default" w:ascii="宋体" w:hAnsi="宋体" w:cs="Times New Roman"/>
                <w:color w:val="auto"/>
                <w:kern w:val="2"/>
                <w:sz w:val="18"/>
                <w:szCs w:val="22"/>
                <w:lang w:val="en-US" w:eastAsia="zh-CN" w:bidi="ar-SA"/>
              </w:rPr>
            </w:pPr>
            <w:r>
              <w:rPr>
                <w:rFonts w:hint="eastAsia" w:ascii="宋体" w:hAnsi="宋体" w:cs="Times New Roman"/>
                <w:color w:val="auto"/>
                <w:kern w:val="2"/>
                <w:sz w:val="18"/>
                <w:szCs w:val="22"/>
                <w:lang w:val="en-US" w:eastAsia="zh-CN" w:bidi="ar-SA"/>
              </w:rPr>
              <w:t>安全设施：灭火器、消防帅</w:t>
            </w:r>
          </w:p>
          <w:p>
            <w:pPr>
              <w:spacing w:line="280" w:lineRule="exact"/>
              <w:rPr>
                <w:rFonts w:ascii="宋体" w:hAnsi="宋体" w:cs="宋体"/>
                <w:szCs w:val="21"/>
              </w:rPr>
            </w:pPr>
            <w:r>
              <w:rPr>
                <w:rFonts w:hint="eastAsia" w:ascii="宋体" w:hAnsi="宋体" w:cs="宋体"/>
                <w:szCs w:val="21"/>
                <w:lang w:val="en-US" w:eastAsia="zh-CN"/>
              </w:rPr>
              <w:t>其他</w:t>
            </w:r>
            <w:r>
              <w:rPr>
                <w:rFonts w:hint="eastAsia" w:ascii="宋体" w:hAnsi="宋体" w:cs="宋体"/>
                <w:szCs w:val="21"/>
              </w:rPr>
              <w:t>基础设施：台式机笔记本电脑、打印机等设施等，规范文件、资金等必要的资源，能够持续满足顾客需求和管理体系改进的需要。</w:t>
            </w:r>
          </w:p>
          <w:p>
            <w:pPr>
              <w:pStyle w:val="2"/>
            </w:pPr>
            <w:r>
              <w:rPr>
                <w:rFonts w:hint="eastAsia"/>
              </w:rPr>
              <w:t>公司对员工涉及的职业健康安全提供必要的资源，如体系标准及法律法规的培训，疫情期间提供口罩等。</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2160" w:type="dxa"/>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960" w:type="dxa"/>
          </w:tcPr>
          <w:p>
            <w:pPr>
              <w:spacing w:line="280" w:lineRule="exact"/>
              <w:rPr>
                <w:szCs w:val="21"/>
              </w:rPr>
            </w:pPr>
            <w:r>
              <w:rPr>
                <w:szCs w:val="21"/>
              </w:rPr>
              <w:t>Q/S</w:t>
            </w:r>
            <w:r>
              <w:rPr>
                <w:rFonts w:hint="eastAsia"/>
                <w:szCs w:val="21"/>
              </w:rPr>
              <w:t>9.3</w:t>
            </w:r>
          </w:p>
          <w:p>
            <w:pPr>
              <w:spacing w:line="280" w:lineRule="exact"/>
              <w:rPr>
                <w:szCs w:val="21"/>
              </w:rPr>
            </w:pPr>
          </w:p>
          <w:p>
            <w:pPr>
              <w:spacing w:line="280" w:lineRule="exact"/>
              <w:rPr>
                <w:rFonts w:ascii="宋体" w:hAnsi="宋体" w:cs="宋体"/>
                <w:szCs w:val="21"/>
              </w:rPr>
            </w:pPr>
          </w:p>
        </w:tc>
        <w:tc>
          <w:tcPr>
            <w:tcW w:w="10943" w:type="dxa"/>
            <w:vAlign w:val="center"/>
          </w:tcPr>
          <w:p>
            <w:pPr>
              <w:spacing w:line="280" w:lineRule="exact"/>
              <w:ind w:firstLine="420" w:firstLineChars="200"/>
              <w:rPr>
                <w:rFonts w:hint="eastAsia"/>
              </w:rPr>
            </w:pPr>
            <w:r>
              <w:rPr>
                <w:rFonts w:hint="eastAsia"/>
              </w:rPr>
              <w:t>公司编制并实施《管理评审程序》，规定管理评审每年进行一次，由刘洪彬卓总经理决定是否增加管理评审的频次。</w:t>
            </w:r>
          </w:p>
          <w:p>
            <w:pPr>
              <w:spacing w:line="280" w:lineRule="exact"/>
              <w:ind w:firstLine="420" w:firstLineChars="200"/>
              <w:rPr>
                <w:rFonts w:hint="eastAsia"/>
              </w:rPr>
            </w:pPr>
            <w:r>
              <w:rPr>
                <w:rFonts w:hint="eastAsia"/>
              </w:rPr>
              <w:t>查策划：在《管理评审程序》中明确了管理评审的实施要求。策划每年进行一次管理评审，间隔不超过12个月。</w:t>
            </w:r>
          </w:p>
          <w:p>
            <w:pPr>
              <w:spacing w:line="280" w:lineRule="exact"/>
              <w:ind w:firstLine="420" w:firstLineChars="200"/>
              <w:rPr>
                <w:rFonts w:hint="eastAsia"/>
              </w:rPr>
            </w:pPr>
            <w:r>
              <w:rPr>
                <w:rFonts w:hint="eastAsia"/>
              </w:rPr>
              <w:t>查阅公司管理评审资料，提供：</w:t>
            </w:r>
          </w:p>
          <w:p>
            <w:pPr>
              <w:spacing w:line="280" w:lineRule="exact"/>
              <w:ind w:firstLine="420" w:firstLineChars="200"/>
              <w:rPr>
                <w:rFonts w:hint="eastAsia"/>
              </w:rPr>
            </w:pPr>
            <w:r>
              <w:rPr>
                <w:rFonts w:hint="eastAsia"/>
              </w:rPr>
              <w:t>1.管理评审计划</w:t>
            </w:r>
          </w:p>
          <w:p>
            <w:pPr>
              <w:spacing w:line="280" w:lineRule="exact"/>
              <w:ind w:firstLine="420" w:firstLineChars="200"/>
              <w:rPr>
                <w:rFonts w:hint="eastAsia"/>
              </w:rPr>
            </w:pPr>
            <w:r>
              <w:rPr>
                <w:rFonts w:hint="eastAsia"/>
              </w:rPr>
              <w:t>评审时间：计划2020年0</w:t>
            </w:r>
            <w:r>
              <w:rPr>
                <w:rFonts w:hint="eastAsia"/>
                <w:lang w:val="en-US" w:eastAsia="zh-CN"/>
              </w:rPr>
              <w:t>9</w:t>
            </w:r>
            <w:r>
              <w:rPr>
                <w:rFonts w:hint="eastAsia"/>
              </w:rPr>
              <w:t>月20日进行，初审无间隔要求，评审方式：会议评审， 拟稿综合部  ，参加人员包括公司总经理、管理者代表、各部门负责人，计划中明确了评审内容和资料准备要求。</w:t>
            </w:r>
          </w:p>
          <w:p>
            <w:pPr>
              <w:spacing w:line="280" w:lineRule="exact"/>
              <w:ind w:firstLine="420" w:firstLineChars="200"/>
              <w:rPr>
                <w:rFonts w:hint="eastAsia"/>
              </w:rPr>
            </w:pPr>
            <w:r>
              <w:rPr>
                <w:rFonts w:hint="eastAsia"/>
              </w:rPr>
              <w:t>2.管理评审会议记录</w:t>
            </w:r>
          </w:p>
          <w:p>
            <w:pPr>
              <w:spacing w:line="280" w:lineRule="exact"/>
              <w:ind w:firstLine="420" w:firstLineChars="200"/>
              <w:rPr>
                <w:rFonts w:hint="eastAsia"/>
              </w:rPr>
            </w:pPr>
            <w:r>
              <w:rPr>
                <w:rFonts w:hint="eastAsia"/>
              </w:rPr>
              <w:t>3.管理评审报告</w:t>
            </w:r>
          </w:p>
          <w:p>
            <w:pPr>
              <w:spacing w:line="280" w:lineRule="exact"/>
              <w:ind w:firstLine="420" w:firstLineChars="200"/>
              <w:rPr>
                <w:rFonts w:hint="eastAsia"/>
              </w:rPr>
            </w:pPr>
            <w:r>
              <w:rPr>
                <w:rFonts w:hint="eastAsia"/>
              </w:rPr>
              <w:t>4.改进计划</w:t>
            </w:r>
          </w:p>
          <w:p>
            <w:pPr>
              <w:pStyle w:val="2"/>
            </w:pP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2160" w:type="dxa"/>
          </w:tcPr>
          <w:p>
            <w:pPr>
              <w:spacing w:line="280" w:lineRule="exact"/>
              <w:rPr>
                <w:rFonts w:ascii="宋体" w:hAnsi="宋体" w:cs="宋体"/>
                <w:szCs w:val="21"/>
              </w:rPr>
            </w:pPr>
            <w:r>
              <w:rPr>
                <w:rFonts w:hint="eastAsia" w:ascii="宋体" w:hAnsi="宋体" w:cs="宋体"/>
                <w:szCs w:val="21"/>
              </w:rPr>
              <w:t>总则</w:t>
            </w:r>
          </w:p>
          <w:p>
            <w:pPr>
              <w:spacing w:line="280" w:lineRule="exact"/>
              <w:rPr>
                <w:rFonts w:ascii="宋体" w:hAnsi="宋体" w:cs="宋体"/>
                <w:szCs w:val="21"/>
              </w:rPr>
            </w:pPr>
          </w:p>
        </w:tc>
        <w:tc>
          <w:tcPr>
            <w:tcW w:w="960" w:type="dxa"/>
          </w:tcPr>
          <w:p>
            <w:pPr>
              <w:spacing w:line="280" w:lineRule="exact"/>
              <w:rPr>
                <w:szCs w:val="21"/>
              </w:rPr>
            </w:pPr>
            <w:r>
              <w:rPr>
                <w:szCs w:val="21"/>
              </w:rPr>
              <w:t>Q/S</w:t>
            </w:r>
            <w:r>
              <w:rPr>
                <w:rFonts w:hint="eastAsia"/>
                <w:szCs w:val="21"/>
              </w:rPr>
              <w:t xml:space="preserve"> 10.1</w:t>
            </w:r>
          </w:p>
          <w:p>
            <w:pPr>
              <w:spacing w:line="280" w:lineRule="exact"/>
              <w:rPr>
                <w:rFonts w:ascii="宋体" w:hAnsi="宋体" w:cs="宋体"/>
                <w:szCs w:val="21"/>
              </w:rPr>
            </w:pPr>
          </w:p>
        </w:tc>
        <w:tc>
          <w:tcPr>
            <w:tcW w:w="10943" w:type="dxa"/>
            <w:vAlign w:val="center"/>
          </w:tcPr>
          <w:p>
            <w:pPr>
              <w:spacing w:line="280" w:lineRule="exact"/>
              <w:ind w:firstLine="420" w:firstLineChars="200"/>
              <w:rPr>
                <w:rFonts w:ascii="宋体" w:hAnsi="宋体" w:cs="宋体"/>
                <w:szCs w:val="21"/>
              </w:rPr>
            </w:pPr>
            <w:r>
              <w:rPr>
                <w:rFonts w:hint="eastAsia" w:ascii="宋体" w:hAnsi="宋体" w:cs="宋体"/>
                <w:szCs w:val="21"/>
              </w:rPr>
              <w:t xml:space="preserve">综合全部审核证据认为公司管理体系方针、目标、内部审核、管理评审、不合格和纠正措施各项要求基本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rPr>
                <w:rFonts w:ascii="宋体" w:hAnsi="宋体" w:cs="宋体"/>
                <w:kern w:val="0"/>
                <w:szCs w:val="21"/>
              </w:rPr>
            </w:pPr>
            <w:r>
              <w:rPr>
                <w:rFonts w:hint="eastAsia" w:ascii="宋体" w:hAnsi="宋体" w:cs="宋体"/>
                <w:szCs w:val="21"/>
              </w:rPr>
              <w:t xml:space="preserve"> ——具体事实可见审核10.2条款记录。</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tabs>
                <w:tab w:val="left" w:pos="7380"/>
              </w:tabs>
              <w:rPr>
                <w:rFonts w:hint="eastAsia" w:ascii="宋体" w:hAnsi="宋体" w:eastAsia="宋体" w:cs="Tahoma"/>
                <w:szCs w:val="21"/>
                <w:lang w:val="en-US" w:eastAsia="zh-CN"/>
              </w:rPr>
            </w:pPr>
            <w:r>
              <w:rPr>
                <w:rFonts w:hint="eastAsia" w:ascii="宋体" w:hAnsi="宋体" w:eastAsia="宋体" w:cs="Tahoma"/>
                <w:szCs w:val="21"/>
                <w:lang w:val="en-US" w:eastAsia="zh-CN"/>
              </w:rPr>
              <w:t>是否具备二阶段审核结论</w:t>
            </w:r>
          </w:p>
          <w:p>
            <w:pPr>
              <w:tabs>
                <w:tab w:val="left" w:pos="7380"/>
              </w:tabs>
              <w:rPr>
                <w:rFonts w:hint="eastAsia" w:ascii="宋体" w:hAnsi="宋体" w:eastAsia="宋体" w:cs="Tahoma"/>
                <w:szCs w:val="21"/>
                <w:lang w:val="en-US" w:eastAsia="zh-CN"/>
              </w:rPr>
            </w:pPr>
          </w:p>
          <w:p>
            <w:pPr>
              <w:spacing w:line="280" w:lineRule="exact"/>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Tahoma"/>
                <w:szCs w:val="21"/>
                <w:lang w:val="en-US" w:eastAsia="zh-CN"/>
              </w:rPr>
              <w:t>第二阶段重要审核点等相关内容</w:t>
            </w:r>
          </w:p>
        </w:tc>
        <w:tc>
          <w:tcPr>
            <w:tcW w:w="960" w:type="dxa"/>
            <w:vAlign w:val="top"/>
          </w:tcPr>
          <w:p>
            <w:pPr>
              <w:spacing w:line="280" w:lineRule="exact"/>
              <w:rPr>
                <w:rFonts w:hint="eastAsia" w:asciiTheme="minorEastAsia" w:hAnsiTheme="minorEastAsia" w:eastAsiaTheme="minorEastAsia" w:cstheme="minorEastAsia"/>
                <w:kern w:val="2"/>
                <w:sz w:val="21"/>
                <w:szCs w:val="21"/>
                <w:lang w:val="en-US" w:eastAsia="zh-CN" w:bidi="ar-SA"/>
              </w:rPr>
            </w:pPr>
          </w:p>
        </w:tc>
        <w:tc>
          <w:tcPr>
            <w:tcW w:w="10943" w:type="dxa"/>
            <w:vAlign w:val="top"/>
          </w:tcPr>
          <w:p>
            <w:pPr>
              <w:tabs>
                <w:tab w:val="left" w:pos="7380"/>
              </w:tabs>
              <w:rPr>
                <w:rFonts w:hint="eastAsia" w:ascii="宋体" w:hAnsi="宋体" w:eastAsia="宋体" w:cs="Tahoma"/>
                <w:szCs w:val="21"/>
                <w:lang w:val="en-US" w:eastAsia="zh-CN"/>
              </w:rPr>
            </w:pPr>
            <w:r>
              <w:rPr>
                <w:rFonts w:hint="eastAsia" w:ascii="宋体" w:hAnsi="宋体" w:eastAsia="宋体" w:cs="Tahoma"/>
                <w:szCs w:val="21"/>
                <w:lang w:val="en-US" w:eastAsia="zh-CN"/>
              </w:rPr>
              <w:t>通过一阶段对受审核方的巡视和观察，对管理体系绩效要求有重大影响的过程、活动、场所和现场运行进行观察、巡视及总体性评价，组织具备二阶段审核条件，可进行二阶段审核。</w:t>
            </w:r>
          </w:p>
          <w:p>
            <w:pPr>
              <w:tabs>
                <w:tab w:val="left" w:pos="7380"/>
              </w:tabs>
              <w:rPr>
                <w:rFonts w:hint="eastAsia" w:ascii="宋体" w:hAnsi="宋体" w:eastAsia="宋体" w:cs="Tahoma"/>
                <w:szCs w:val="21"/>
                <w:lang w:val="en-US" w:eastAsia="zh-CN"/>
              </w:rPr>
            </w:pPr>
          </w:p>
          <w:p>
            <w:pPr>
              <w:tabs>
                <w:tab w:val="left" w:pos="7380"/>
              </w:tabs>
              <w:rPr>
                <w:rFonts w:hint="default" w:ascii="宋体" w:hAnsi="宋体" w:eastAsia="宋体" w:cs="Tahoma"/>
                <w:szCs w:val="21"/>
                <w:lang w:val="en-US" w:eastAsia="zh-CN"/>
              </w:rPr>
            </w:pPr>
            <w:r>
              <w:rPr>
                <w:rFonts w:hint="eastAsia" w:ascii="宋体" w:hAnsi="宋体" w:eastAsia="宋体" w:cs="Tahoma"/>
                <w:szCs w:val="21"/>
                <w:lang w:val="en-US" w:eastAsia="zh-CN"/>
              </w:rPr>
              <w:t>二阶段重点审核：</w:t>
            </w:r>
          </w:p>
          <w:p>
            <w:pPr>
              <w:tabs>
                <w:tab w:val="left" w:pos="7380"/>
              </w:tabs>
              <w:rPr>
                <w:rFonts w:hint="default" w:ascii="宋体" w:hAnsi="宋体" w:eastAsia="宋体" w:cs="Tahoma"/>
                <w:szCs w:val="21"/>
                <w:lang w:val="en-US" w:eastAsia="zh-CN"/>
              </w:rPr>
            </w:pPr>
            <w:r>
              <w:rPr>
                <w:rFonts w:hint="eastAsia" w:ascii="宋体" w:hAnsi="宋体" w:eastAsia="宋体" w:cs="Tahoma"/>
                <w:szCs w:val="21"/>
                <w:lang w:val="en-US" w:eastAsia="zh-CN"/>
              </w:rPr>
              <w:t>Q:</w:t>
            </w:r>
            <w:r>
              <w:rPr>
                <w:rFonts w:hint="eastAsia" w:ascii="宋体" w:hAnsi="宋体"/>
                <w:szCs w:val="21"/>
              </w:rPr>
              <w:t>机械零部件的加工</w:t>
            </w:r>
            <w:r>
              <w:rPr>
                <w:rFonts w:hint="eastAsia" w:ascii="宋体" w:hAnsi="宋体"/>
                <w:szCs w:val="21"/>
                <w:lang w:val="en-US" w:eastAsia="zh-CN"/>
              </w:rPr>
              <w:t>过程</w:t>
            </w:r>
            <w:r>
              <w:rPr>
                <w:rFonts w:hint="eastAsia" w:ascii="宋体" w:hAnsi="宋体" w:eastAsia="宋体" w:cs="Tahoma"/>
                <w:szCs w:val="21"/>
                <w:lang w:val="en-US" w:eastAsia="zh-CN"/>
              </w:rPr>
              <w:t>、检验过程、采购过程、销售过程等</w:t>
            </w:r>
          </w:p>
          <w:p>
            <w:pPr>
              <w:pStyle w:val="2"/>
              <w:rPr>
                <w:rFonts w:hint="default"/>
                <w:lang w:val="en-US" w:eastAsia="zh-CN"/>
              </w:rPr>
            </w:pPr>
            <w:r>
              <w:rPr>
                <w:rFonts w:hint="eastAsia" w:ascii="宋体" w:hAnsi="宋体" w:eastAsia="宋体" w:cs="Tahoma"/>
                <w:szCs w:val="21"/>
                <w:lang w:val="en-US" w:eastAsia="zh-CN"/>
              </w:rPr>
              <w:t>O:危险源辨识、不可接受风险管理方案、相关方的信息沟通、应急准备和响应控制措施等</w:t>
            </w:r>
          </w:p>
          <w:p>
            <w:pPr>
              <w:tabs>
                <w:tab w:val="left" w:pos="7380"/>
              </w:tabs>
              <w:rPr>
                <w:rFonts w:hint="default" w:ascii="宋体" w:hAnsi="宋体" w:cs="Tahoma"/>
                <w:szCs w:val="21"/>
                <w:lang w:val="en-US" w:eastAsia="zh-CN"/>
              </w:rPr>
            </w:pPr>
            <w:r>
              <w:rPr>
                <w:rFonts w:hint="eastAsia" w:ascii="宋体" w:hAnsi="宋体" w:eastAsia="宋体" w:cs="Tahoma"/>
                <w:szCs w:val="21"/>
                <w:lang w:val="en-US" w:eastAsia="zh-CN"/>
              </w:rPr>
              <w:t>重点审核部门：</w:t>
            </w:r>
            <w:r>
              <w:rPr>
                <w:rFonts w:hint="eastAsia" w:ascii="宋体" w:hAnsi="宋体" w:cs="Tahoma"/>
                <w:szCs w:val="21"/>
                <w:lang w:val="en-US" w:eastAsia="zh-CN"/>
              </w:rPr>
              <w:t>人力资源</w:t>
            </w:r>
            <w:r>
              <w:rPr>
                <w:rFonts w:hint="eastAsia" w:ascii="宋体" w:hAnsi="宋体" w:eastAsia="宋体" w:cs="Tahoma"/>
                <w:szCs w:val="21"/>
                <w:lang w:val="en-US" w:eastAsia="zh-CN"/>
              </w:rPr>
              <w:t>部、</w:t>
            </w:r>
            <w:r>
              <w:rPr>
                <w:rFonts w:hint="eastAsia" w:ascii="宋体" w:hAnsi="宋体" w:cs="Tahoma"/>
                <w:szCs w:val="21"/>
                <w:lang w:val="en-US" w:eastAsia="zh-CN"/>
              </w:rPr>
              <w:t>生产部、质检部、销售部</w:t>
            </w:r>
          </w:p>
          <w:p>
            <w:pPr>
              <w:tabs>
                <w:tab w:val="left" w:pos="7380"/>
              </w:tabs>
              <w:rPr>
                <w:rFonts w:hint="eastAsia" w:ascii="宋体" w:hAnsi="宋体" w:eastAsia="宋体" w:cs="Tahoma"/>
                <w:szCs w:val="21"/>
                <w:lang w:val="en-US" w:eastAsia="zh-CN"/>
              </w:rPr>
            </w:pPr>
            <w:r>
              <w:rPr>
                <w:rFonts w:hint="eastAsia" w:ascii="宋体" w:hAnsi="宋体" w:eastAsia="宋体" w:cs="Tahoma"/>
                <w:szCs w:val="21"/>
                <w:lang w:val="en-US" w:eastAsia="zh-CN"/>
              </w:rPr>
              <w:t>重点审核过程：风险识别评价、运行过程、监视和测量、不符合控制、合规性评价等。</w:t>
            </w:r>
          </w:p>
          <w:p>
            <w:pPr>
              <w:tabs>
                <w:tab w:val="left" w:pos="7380"/>
              </w:tabs>
              <w:rPr>
                <w:rFonts w:hint="default" w:ascii="宋体" w:hAnsi="宋体" w:eastAsia="宋体" w:cs="Tahoma"/>
                <w:szCs w:val="21"/>
                <w:lang w:val="en-US" w:eastAsia="zh-CN"/>
              </w:rPr>
            </w:pPr>
            <w:r>
              <w:rPr>
                <w:rFonts w:hint="eastAsia" w:ascii="宋体" w:hAnsi="宋体" w:eastAsia="宋体" w:cs="Tahoma"/>
                <w:szCs w:val="21"/>
                <w:lang w:val="en-US" w:eastAsia="zh-CN"/>
              </w:rPr>
              <w:t>重点审核场所：</w:t>
            </w:r>
            <w:r>
              <w:rPr>
                <w:rFonts w:hint="eastAsia" w:ascii="宋体" w:hAnsi="宋体" w:cs="Tahoma"/>
                <w:szCs w:val="21"/>
                <w:lang w:val="en-US" w:eastAsia="zh-CN"/>
              </w:rPr>
              <w:t>生产</w:t>
            </w:r>
            <w:r>
              <w:rPr>
                <w:rFonts w:hint="eastAsia" w:ascii="宋体" w:hAnsi="宋体" w:eastAsia="宋体" w:cs="Tahoma"/>
                <w:szCs w:val="21"/>
                <w:lang w:val="en-US" w:eastAsia="zh-CN"/>
              </w:rPr>
              <w:t>场所、办公场所、销售场所</w:t>
            </w:r>
          </w:p>
          <w:p>
            <w:pPr>
              <w:ind w:firstLine="420" w:firstLineChars="200"/>
              <w:rPr>
                <w:rFonts w:hint="eastAsia" w:ascii="Times New Roman" w:hAnsi="Times New Roman" w:cs="Times New Roman" w:eastAsiaTheme="minorEastAsia"/>
                <w:kern w:val="2"/>
                <w:sz w:val="21"/>
                <w:lang w:val="en-US" w:eastAsia="zh-CN" w:bidi="ar-SA"/>
              </w:rPr>
            </w:pPr>
            <w:r>
              <w:rPr>
                <w:rFonts w:hint="eastAsia" w:ascii="宋体" w:hAnsi="宋体" w:eastAsia="宋体" w:cs="Tahoma"/>
                <w:szCs w:val="21"/>
                <w:lang w:val="en-US" w:eastAsia="zh-CN"/>
              </w:rPr>
              <w:t>审核时间：2020年11月09日 上午</w:t>
            </w:r>
            <w:r>
              <w:rPr>
                <w:rFonts w:hint="eastAsia" w:ascii="宋体" w:hAnsi="宋体" w:eastAsia="宋体" w:cs="Tahoma"/>
                <w:szCs w:val="21"/>
                <w:lang w:val="en-US" w:eastAsia="zh-CN"/>
              </w:rPr>
              <w:tab/>
            </w:r>
            <w:r>
              <w:rPr>
                <w:rFonts w:hint="eastAsia" w:ascii="宋体" w:hAnsi="宋体" w:cs="Tahoma"/>
                <w:szCs w:val="21"/>
                <w:lang w:val="en-US" w:eastAsia="zh-CN"/>
              </w:rPr>
              <w:t>--</w:t>
            </w:r>
            <w:r>
              <w:rPr>
                <w:rFonts w:hint="eastAsia" w:ascii="宋体" w:hAnsi="宋体" w:eastAsia="宋体" w:cs="Tahoma"/>
                <w:szCs w:val="21"/>
                <w:lang w:val="en-US" w:eastAsia="zh-CN"/>
              </w:rPr>
              <w:t xml:space="preserve"> 2020年11月10日 下午</w:t>
            </w:r>
          </w:p>
        </w:tc>
        <w:tc>
          <w:tcPr>
            <w:tcW w:w="646" w:type="dxa"/>
          </w:tcPr>
          <w:p>
            <w:pPr>
              <w:rPr>
                <w:rFonts w:ascii="宋体" w:hAnsi="宋体" w:cs="宋体"/>
                <w:szCs w:val="21"/>
              </w:rPr>
            </w:pPr>
          </w:p>
        </w:tc>
      </w:tr>
    </w:tbl>
    <w:p/>
    <w:p>
      <w:pPr>
        <w:pStyle w:val="4"/>
      </w:pPr>
      <w:r>
        <w:rPr>
          <w:rFonts w:hint="eastAsia"/>
        </w:rPr>
        <w:t>说明：不符合标注N</w:t>
      </w:r>
      <w:r>
        <w:rPr>
          <w:rFonts w:hint="eastAsia" w:ascii="宋体" w:hAnsi="宋体"/>
          <w:szCs w:val="21"/>
        </w:rPr>
        <w:t>O：</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Light"/>
    <w:panose1 w:val="00000000000000000000"/>
    <w:charset w:val="86"/>
    <w:family w:val="modern"/>
    <w:pitch w:val="default"/>
    <w:sig w:usb0="00000000" w:usb1="00000000" w:usb2="00000010" w:usb3="00000000" w:csb0="00040000" w:csb1="00000000"/>
  </w:font>
  <w:font w:name="微软雅黑 Light">
    <w:panose1 w:val="020B0502040204020203"/>
    <w:charset w:val="86"/>
    <w:family w:val="auto"/>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12</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rPr>
        <w:lang w:val="en-GB"/>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739D8"/>
    <w:multiLevelType w:val="singleLevel"/>
    <w:tmpl w:val="26C739D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756AF"/>
    <w:rsid w:val="001A2D7F"/>
    <w:rsid w:val="001C5D0F"/>
    <w:rsid w:val="00337922"/>
    <w:rsid w:val="00340867"/>
    <w:rsid w:val="00380837"/>
    <w:rsid w:val="00386B12"/>
    <w:rsid w:val="003A198A"/>
    <w:rsid w:val="00410914"/>
    <w:rsid w:val="00536930"/>
    <w:rsid w:val="00564E53"/>
    <w:rsid w:val="005B1D35"/>
    <w:rsid w:val="00630243"/>
    <w:rsid w:val="00644FE2"/>
    <w:rsid w:val="0067640C"/>
    <w:rsid w:val="0069544D"/>
    <w:rsid w:val="006E678B"/>
    <w:rsid w:val="007757F3"/>
    <w:rsid w:val="007E6AEB"/>
    <w:rsid w:val="008078E9"/>
    <w:rsid w:val="00886C4E"/>
    <w:rsid w:val="008973EE"/>
    <w:rsid w:val="00916208"/>
    <w:rsid w:val="00971600"/>
    <w:rsid w:val="009973B4"/>
    <w:rsid w:val="009A2DE9"/>
    <w:rsid w:val="009C28C1"/>
    <w:rsid w:val="009F7EED"/>
    <w:rsid w:val="00A53A38"/>
    <w:rsid w:val="00AF0AAB"/>
    <w:rsid w:val="00B740E7"/>
    <w:rsid w:val="00BF597E"/>
    <w:rsid w:val="00C51A36"/>
    <w:rsid w:val="00C55228"/>
    <w:rsid w:val="00C952AC"/>
    <w:rsid w:val="00CE315A"/>
    <w:rsid w:val="00D06F59"/>
    <w:rsid w:val="00D70DF1"/>
    <w:rsid w:val="00D8388C"/>
    <w:rsid w:val="00EB0164"/>
    <w:rsid w:val="00ED0F62"/>
    <w:rsid w:val="00F82BD2"/>
    <w:rsid w:val="01486283"/>
    <w:rsid w:val="03DC0FCC"/>
    <w:rsid w:val="04343D46"/>
    <w:rsid w:val="044D4B75"/>
    <w:rsid w:val="045B56B3"/>
    <w:rsid w:val="04BA6B7A"/>
    <w:rsid w:val="05CD7495"/>
    <w:rsid w:val="06433CF5"/>
    <w:rsid w:val="071800C4"/>
    <w:rsid w:val="083C5F43"/>
    <w:rsid w:val="08537734"/>
    <w:rsid w:val="08815A9C"/>
    <w:rsid w:val="08A81132"/>
    <w:rsid w:val="09525E59"/>
    <w:rsid w:val="09BC26C5"/>
    <w:rsid w:val="0AF255BC"/>
    <w:rsid w:val="0BBF3FEE"/>
    <w:rsid w:val="0BEC1E27"/>
    <w:rsid w:val="0D3A6D3B"/>
    <w:rsid w:val="0D9D1D5C"/>
    <w:rsid w:val="0E897CBB"/>
    <w:rsid w:val="0EC76BFE"/>
    <w:rsid w:val="108219C2"/>
    <w:rsid w:val="10BD58B0"/>
    <w:rsid w:val="10CC02BD"/>
    <w:rsid w:val="13EF2575"/>
    <w:rsid w:val="1493723D"/>
    <w:rsid w:val="156E2556"/>
    <w:rsid w:val="157849C1"/>
    <w:rsid w:val="15AD0276"/>
    <w:rsid w:val="17A24658"/>
    <w:rsid w:val="17E90890"/>
    <w:rsid w:val="186E7010"/>
    <w:rsid w:val="18833F23"/>
    <w:rsid w:val="19006116"/>
    <w:rsid w:val="192A3AB8"/>
    <w:rsid w:val="19921EE7"/>
    <w:rsid w:val="1A2C47DF"/>
    <w:rsid w:val="1A5805CF"/>
    <w:rsid w:val="1B846EE2"/>
    <w:rsid w:val="1C701804"/>
    <w:rsid w:val="1CAE3BF5"/>
    <w:rsid w:val="1CB93E63"/>
    <w:rsid w:val="1D224A40"/>
    <w:rsid w:val="1D553A9B"/>
    <w:rsid w:val="1D557804"/>
    <w:rsid w:val="1DA96624"/>
    <w:rsid w:val="1E6B177A"/>
    <w:rsid w:val="1EA12B27"/>
    <w:rsid w:val="1EBF7DFB"/>
    <w:rsid w:val="1F517785"/>
    <w:rsid w:val="1FCB2501"/>
    <w:rsid w:val="1FD6378B"/>
    <w:rsid w:val="2098573E"/>
    <w:rsid w:val="20DA078C"/>
    <w:rsid w:val="21D85A19"/>
    <w:rsid w:val="235E3FCA"/>
    <w:rsid w:val="246D2075"/>
    <w:rsid w:val="249D1B51"/>
    <w:rsid w:val="258C1377"/>
    <w:rsid w:val="25B63D74"/>
    <w:rsid w:val="26EF525E"/>
    <w:rsid w:val="272F0E48"/>
    <w:rsid w:val="27B32443"/>
    <w:rsid w:val="27F35084"/>
    <w:rsid w:val="28D83944"/>
    <w:rsid w:val="28FE2F29"/>
    <w:rsid w:val="2AC46F78"/>
    <w:rsid w:val="2AF844C7"/>
    <w:rsid w:val="2C3A2852"/>
    <w:rsid w:val="2D546CAF"/>
    <w:rsid w:val="2D5E512C"/>
    <w:rsid w:val="2DA74856"/>
    <w:rsid w:val="2F5C7822"/>
    <w:rsid w:val="308A61A3"/>
    <w:rsid w:val="31631119"/>
    <w:rsid w:val="330904BA"/>
    <w:rsid w:val="345F4D69"/>
    <w:rsid w:val="348E0B61"/>
    <w:rsid w:val="34B30427"/>
    <w:rsid w:val="35EB5546"/>
    <w:rsid w:val="379B573F"/>
    <w:rsid w:val="37A51D10"/>
    <w:rsid w:val="38E16034"/>
    <w:rsid w:val="399F0E61"/>
    <w:rsid w:val="39B0398A"/>
    <w:rsid w:val="3A135DBE"/>
    <w:rsid w:val="3B115DC4"/>
    <w:rsid w:val="3B227900"/>
    <w:rsid w:val="3DB575F2"/>
    <w:rsid w:val="3FAA1D05"/>
    <w:rsid w:val="3FE4412B"/>
    <w:rsid w:val="40134513"/>
    <w:rsid w:val="40C4529F"/>
    <w:rsid w:val="410548BC"/>
    <w:rsid w:val="41BF7F6C"/>
    <w:rsid w:val="424B7984"/>
    <w:rsid w:val="43613655"/>
    <w:rsid w:val="45256947"/>
    <w:rsid w:val="454511DF"/>
    <w:rsid w:val="458C0DD7"/>
    <w:rsid w:val="46FC186C"/>
    <w:rsid w:val="48E731AA"/>
    <w:rsid w:val="49046B1C"/>
    <w:rsid w:val="4AF12E50"/>
    <w:rsid w:val="4B8F4629"/>
    <w:rsid w:val="4D034732"/>
    <w:rsid w:val="4D115CB9"/>
    <w:rsid w:val="4D226AAC"/>
    <w:rsid w:val="4DA45115"/>
    <w:rsid w:val="505E674E"/>
    <w:rsid w:val="50DE4DBD"/>
    <w:rsid w:val="51C3292E"/>
    <w:rsid w:val="51F65C49"/>
    <w:rsid w:val="52EA70C8"/>
    <w:rsid w:val="52F26A7F"/>
    <w:rsid w:val="53EC459F"/>
    <w:rsid w:val="554E28FE"/>
    <w:rsid w:val="566C2870"/>
    <w:rsid w:val="57B57DBB"/>
    <w:rsid w:val="58DF190E"/>
    <w:rsid w:val="58F13324"/>
    <w:rsid w:val="59441620"/>
    <w:rsid w:val="5B8E2D5D"/>
    <w:rsid w:val="5C0430D5"/>
    <w:rsid w:val="5CD91574"/>
    <w:rsid w:val="5D0E28AF"/>
    <w:rsid w:val="5EA12B9A"/>
    <w:rsid w:val="61495338"/>
    <w:rsid w:val="61A11EA0"/>
    <w:rsid w:val="62CB5E8E"/>
    <w:rsid w:val="62F25759"/>
    <w:rsid w:val="63511FA7"/>
    <w:rsid w:val="63663611"/>
    <w:rsid w:val="645158D0"/>
    <w:rsid w:val="6496711E"/>
    <w:rsid w:val="64B47601"/>
    <w:rsid w:val="64B52C73"/>
    <w:rsid w:val="64C75CF6"/>
    <w:rsid w:val="64E67A77"/>
    <w:rsid w:val="65631D09"/>
    <w:rsid w:val="65F3314E"/>
    <w:rsid w:val="66EB57A1"/>
    <w:rsid w:val="6728581E"/>
    <w:rsid w:val="674B7AEA"/>
    <w:rsid w:val="67A07670"/>
    <w:rsid w:val="68056E47"/>
    <w:rsid w:val="68194C3B"/>
    <w:rsid w:val="69372D96"/>
    <w:rsid w:val="69C55CFF"/>
    <w:rsid w:val="6A12542A"/>
    <w:rsid w:val="6C4C3A45"/>
    <w:rsid w:val="6C6939C3"/>
    <w:rsid w:val="6E311877"/>
    <w:rsid w:val="6E336B29"/>
    <w:rsid w:val="6EA2154F"/>
    <w:rsid w:val="6ED45DD7"/>
    <w:rsid w:val="6F4021E5"/>
    <w:rsid w:val="70E2745F"/>
    <w:rsid w:val="7111286E"/>
    <w:rsid w:val="713E1B08"/>
    <w:rsid w:val="71701991"/>
    <w:rsid w:val="71A150C1"/>
    <w:rsid w:val="72340CB9"/>
    <w:rsid w:val="72DE46DF"/>
    <w:rsid w:val="730846B2"/>
    <w:rsid w:val="7480693E"/>
    <w:rsid w:val="74983E64"/>
    <w:rsid w:val="761A29D2"/>
    <w:rsid w:val="77107979"/>
    <w:rsid w:val="77144069"/>
    <w:rsid w:val="780B6495"/>
    <w:rsid w:val="7A8D6040"/>
    <w:rsid w:val="7BDD4178"/>
    <w:rsid w:val="7C5A28BF"/>
    <w:rsid w:val="7E42085A"/>
    <w:rsid w:val="7F542F90"/>
    <w:rsid w:val="7FC01F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Header Char"/>
    <w:basedOn w:val="7"/>
    <w:link w:val="5"/>
    <w:qFormat/>
    <w:uiPriority w:val="99"/>
    <w:rPr>
      <w:rFonts w:ascii="Times New Roman" w:hAnsi="Times New Roman" w:eastAsia="宋体" w:cs="Times New Roman"/>
      <w:sz w:val="18"/>
      <w:szCs w:val="18"/>
    </w:rPr>
  </w:style>
  <w:style w:type="character" w:customStyle="1" w:styleId="9">
    <w:name w:val="Footer Char"/>
    <w:basedOn w:val="7"/>
    <w:link w:val="4"/>
    <w:qFormat/>
    <w:uiPriority w:val="99"/>
    <w:rPr>
      <w:rFonts w:ascii="Times New Roman" w:hAnsi="Times New Roman" w:eastAsia="宋体" w:cs="Times New Roman"/>
      <w:sz w:val="18"/>
      <w:szCs w:val="18"/>
    </w:rPr>
  </w:style>
  <w:style w:type="character" w:customStyle="1" w:styleId="10">
    <w:name w:val="Balloon Text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styleId="12">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TUV</Company>
  <Pages>12</Pages>
  <Words>1092</Words>
  <Characters>6231</Characters>
  <Lines>51</Lines>
  <Paragraphs>14</Paragraphs>
  <TotalTime>1</TotalTime>
  <ScaleCrop>false</ScaleCrop>
  <LinksUpToDate>false</LinksUpToDate>
  <CharactersWithSpaces>7309</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2020-11-11T07:30:01Z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