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006-2019-H-2020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六安市博元后勤服务管理有限公司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Lu 'an boyuan logistics service management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安徽省六安市月亮岛小区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237010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安徽省六安市皖西路171号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237010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安徽省六安市皖西路171号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237010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91341500580117861B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0564-3284217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王从务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50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