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杭州品尚保安服务有限公司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王香玉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240" w:lineRule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提供的法规清单内未列入《浙江省保安管理条例》、GB3096-2008声环境质量标准、GBZ2.1-2019《工作场所有害因素职业接触限值 第1部分：化学有害因素》和GBZ2.2-2007《工作场所有害因素职业接触限值 第2部分：物理因素》等涉及的法规文件，未识别适用条款。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王央央 任泽华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审核组长：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>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李顺坡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2020-11-13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2020-11-13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2020-11-13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211" w:firstLineChars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已新增加相应的适用法规文件，基本有效。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  日期：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2020-11-17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未识别《浙江省保安管理条例》、GB3096-2008声环境质量标准、GBZ2.1-2019《工作场所有害因素职业接触限值 第1部分：化学有害因素》和GBZ2.2-2007《工作场所有害因素职业接触限值 第2部分：物理因素》等涉及的法规文件。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已纠正。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日常工作对于法规要求意识淡薄。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识别相关法规文件，补充提出的法规文件并进行合规性评价。举一反三，查看其他相关的未识别的法规文件。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未发现其他适用的法规识别，今后鼓励员工反馈相关涉及的法规文件，并设立建议奖。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基本有效。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5715</wp:posOffset>
                  </wp:positionV>
                  <wp:extent cx="905510" cy="539115"/>
                  <wp:effectExtent l="0" t="0" r="8890" b="9525"/>
                  <wp:wrapNone/>
                  <wp:docPr id="2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386715</wp:posOffset>
                  </wp:positionV>
                  <wp:extent cx="905510" cy="539115"/>
                  <wp:effectExtent l="0" t="0" r="8890" b="9525"/>
                  <wp:wrapNone/>
                  <wp:docPr id="3" name="图片 3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2020-11-16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>日期：</w:t>
      </w:r>
      <w:r>
        <w:rPr>
          <w:rFonts w:hint="eastAsia" w:eastAsia="方正仿宋简体"/>
          <w:b/>
          <w:lang w:val="en-US" w:eastAsia="zh-CN"/>
        </w:rPr>
        <w:t>2020-11-16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2620E1"/>
    <w:rsid w:val="3AAE3AF2"/>
    <w:rsid w:val="434E19D7"/>
    <w:rsid w:val="76614C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643</Words>
  <Characters>871</Characters>
  <Lines>4</Lines>
  <Paragraphs>1</Paragraphs>
  <TotalTime>1</TotalTime>
  <ScaleCrop>false</ScaleCrop>
  <LinksUpToDate>false</LinksUpToDate>
  <CharactersWithSpaces>1084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森林</cp:lastModifiedBy>
  <cp:lastPrinted>2019-05-13T03:02:00Z</cp:lastPrinted>
  <dcterms:modified xsi:type="dcterms:W3CDTF">2020-11-17T23:11:43Z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