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杭州品尚保安服务有限公司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严剑江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E:35.12.00</w:t>
            </w:r>
          </w:p>
          <w:p>
            <w:pPr>
              <w:spacing w:line="240" w:lineRule="exact"/>
              <w:jc w:val="center"/>
              <w:rPr>
                <w:b/>
                <w:color w:val="000000" w:themeColor="text1"/>
                <w:sz w:val="20"/>
                <w:szCs w:val="20"/>
              </w:rPr>
            </w:pPr>
            <w:r>
              <w:rPr>
                <w:b/>
                <w:color w:val="000000" w:themeColor="text1"/>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pStyle w:val="12"/>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杭州品尚保安服务有限公司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浙江省杭州临江高新区科创大道纬五路3688号1幢4楼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浙江省杭州市余杭区五常街道盛奥铭座2幢2单元13楼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王香玉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0571-88970185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焦德尚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李顺坡</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E：许可范围内的保安服务（门卫、巡逻、守护、随身护卫、安全检查）所涉及的相关环境管理活动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O：许可范围内的保安服务（门卫、巡逻、守护、随身护卫、安全检查）所涉及的相关职业健康安全管理活动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E：35.12.00</w:t>
            </w:r>
          </w:p>
          <w:p>
            <w:pPr>
              <w:spacing w:line="320" w:lineRule="exact"/>
              <w:rPr>
                <w:rFonts w:ascii="宋体" w:hAnsi="宋体"/>
                <w:b/>
                <w:color w:val="000000" w:themeColor="text1"/>
                <w:sz w:val="20"/>
                <w:szCs w:val="20"/>
              </w:rPr>
            </w:pPr>
            <w:r>
              <w:rPr>
                <w:rFonts w:ascii="宋体" w:hAnsi="宋体"/>
                <w:b/>
                <w:color w:val="000000" w:themeColor="text1"/>
                <w:sz w:val="20"/>
                <w:szCs w:val="20"/>
              </w:rPr>
              <w:t>O：35.12.00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见多场所清单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综合办公室</w:t>
            </w:r>
          </w:p>
        </w:tc>
        <w:tc>
          <w:tcPr>
            <w:tcW w:w="6804"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；资源提供与管理过程控制；内外部信息交流过程；内审管理；内外部信息交流、采购过程、销售过程、客户满意相关等过程及相应环境、职业健康安全管理体系运行过程；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保安部</w:t>
            </w:r>
          </w:p>
        </w:tc>
        <w:tc>
          <w:tcPr>
            <w:tcW w:w="6804"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val="en-US" w:eastAsia="zh-CN"/>
              </w:rPr>
              <w:t>服务实</w:t>
            </w:r>
            <w:r>
              <w:rPr>
                <w:rFonts w:hint="eastAsia" w:cs="宋体" w:asciiTheme="minorEastAsia" w:hAnsiTheme="minorEastAsia" w:eastAsiaTheme="minorEastAsia"/>
                <w:sz w:val="20"/>
                <w:szCs w:val="20"/>
              </w:rPr>
              <w:t>现过程、</w:t>
            </w:r>
            <w:r>
              <w:rPr>
                <w:rFonts w:hint="eastAsia" w:cs="宋体" w:asciiTheme="minorEastAsia" w:hAnsiTheme="minorEastAsia" w:eastAsiaTheme="minorEastAsia"/>
                <w:sz w:val="20"/>
                <w:szCs w:val="20"/>
                <w:lang w:val="en-US" w:eastAsia="zh-CN"/>
              </w:rPr>
              <w:t>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教育培训部</w:t>
            </w:r>
          </w:p>
        </w:tc>
        <w:tc>
          <w:tcPr>
            <w:tcW w:w="6804" w:type="dxa"/>
          </w:tcPr>
          <w:p>
            <w:pPr>
              <w:jc w:val="left"/>
              <w:rPr>
                <w:rFonts w:hint="default"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rPr>
              <w:t>人力资源管理过程</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lang w:val="en-US" w:eastAsia="zh-CN"/>
              </w:rPr>
              <w:t xml:space="preserve">服务人员培训教育及相关的环境、职业健康安全管理体系运行过程控制；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lang w:val="en-US" w:eastAsia="zh-CN"/>
              </w:rPr>
              <w:t>财务部</w:t>
            </w:r>
          </w:p>
        </w:tc>
        <w:tc>
          <w:tcPr>
            <w:tcW w:w="6804" w:type="dxa"/>
          </w:tcPr>
          <w:p>
            <w:pPr>
              <w:jc w:val="left"/>
              <w:rPr>
                <w:rFonts w:hint="default"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 xml:space="preserve">环境、职业健康安全相关财务投入统计等；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杭州市公安分局西湖分局</w:t>
            </w:r>
          </w:p>
        </w:tc>
        <w:tc>
          <w:tcPr>
            <w:tcW w:w="3249"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保安服务</w:t>
            </w:r>
          </w:p>
        </w:tc>
        <w:tc>
          <w:tcPr>
            <w:tcW w:w="3555"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西湖区晴川街123号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余杭区税务局</w:t>
            </w:r>
          </w:p>
        </w:tc>
        <w:tc>
          <w:tcPr>
            <w:tcW w:w="3249"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保安服务</w:t>
            </w:r>
          </w:p>
        </w:tc>
        <w:tc>
          <w:tcPr>
            <w:tcW w:w="3555"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ascii="宋体"/>
                <w:sz w:val="18"/>
                <w:szCs w:val="18"/>
              </w:rPr>
              <w:t>余杭区临平邱山大街618号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ascii="宋体"/>
                <w:sz w:val="18"/>
                <w:szCs w:val="18"/>
              </w:rPr>
              <w:t>浙江省妇女干部学校</w:t>
            </w:r>
          </w:p>
        </w:tc>
        <w:tc>
          <w:tcPr>
            <w:tcW w:w="3249"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保安服务</w:t>
            </w:r>
          </w:p>
        </w:tc>
        <w:tc>
          <w:tcPr>
            <w:tcW w:w="3555"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ascii="宋体"/>
                <w:sz w:val="18"/>
                <w:szCs w:val="18"/>
              </w:rPr>
              <w:t>西湖区翠苑三区翠柏路10号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imes New Roman" w:hAnsi="Times New Roman" w:eastAsia="宋体" w:cs="Times New Roman"/>
                <w:color w:val="000000"/>
                <w:kern w:val="2"/>
                <w:sz w:val="21"/>
                <w:szCs w:val="24"/>
                <w:lang w:val="en-US" w:eastAsia="zh-CN" w:bidi="ar-SA"/>
              </w:rPr>
            </w:pPr>
            <w:r>
              <w:rPr>
                <w:rFonts w:hint="eastAsia" w:ascii="宋体"/>
                <w:sz w:val="18"/>
                <w:szCs w:val="18"/>
              </w:rPr>
              <w:t>浙江省卫生健康综合保障中心</w:t>
            </w:r>
          </w:p>
        </w:tc>
        <w:tc>
          <w:tcPr>
            <w:tcW w:w="0" w:type="auto"/>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保安服务</w:t>
            </w:r>
          </w:p>
        </w:tc>
        <w:tc>
          <w:tcPr>
            <w:tcW w:w="0" w:type="auto"/>
            <w:vAlign w:val="top"/>
          </w:tcPr>
          <w:p>
            <w:pPr>
              <w:rPr>
                <w:rFonts w:hint="eastAsia" w:ascii="Times New Roman" w:hAnsi="Times New Roman" w:eastAsia="宋体" w:cs="Times New Roman"/>
                <w:color w:val="000000"/>
                <w:kern w:val="2"/>
                <w:sz w:val="21"/>
                <w:szCs w:val="24"/>
                <w:lang w:val="en-US" w:eastAsia="zh-CN" w:bidi="ar-SA"/>
              </w:rPr>
            </w:pPr>
            <w:r>
              <w:rPr>
                <w:rFonts w:hint="eastAsia" w:ascii="宋体"/>
                <w:sz w:val="18"/>
                <w:szCs w:val="18"/>
              </w:rPr>
              <w:t>杭州市西湖区万塘路256号</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保安服务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浙江省保安管理条例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lang w:val="en-US" w:eastAsia="zh-CN"/>
        </w:rPr>
        <w:t>开始</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r>
              <w:rPr>
                <w:rFonts w:hint="eastAsia"/>
                <w:b/>
                <w:color w:val="000000" w:themeColor="text1"/>
                <w:sz w:val="20"/>
                <w:szCs w:val="20"/>
                <w:lang w:val="en-US" w:eastAsia="zh-CN"/>
              </w:rPr>
              <w:t xml:space="preserve">  在手册4.1条中描述组织及其环境的识别情况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手册4.2条中识别相关方的需求和期望。公司的相关方包括：顾客、供方、委托方、员工、政府部门、咨询单位，以及其他人员；公司各相关部门建立管理文件，分别对相关方的需求及期望进行识别确认，并对这类需求 及要求等进行管理及定期更新，保持有效性。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制定环境和职业健康安全方针，</w:t>
            </w:r>
            <w:r>
              <w:rPr>
                <w:rFonts w:hint="eastAsia" w:cs="宋体" w:asciiTheme="minorEastAsia" w:hAnsiTheme="minorEastAsia" w:eastAsiaTheme="minorEastAsia"/>
                <w:sz w:val="20"/>
                <w:szCs w:val="20"/>
                <w:lang w:val="en-US" w:eastAsia="zh-CN"/>
              </w:rPr>
              <w:t>见管理手册</w:t>
            </w:r>
            <w:r>
              <w:rPr>
                <w:rFonts w:hint="eastAsia" w:cs="宋体" w:asciiTheme="minorEastAsia" w:hAnsiTheme="minorEastAsia" w:eastAsiaTheme="minorEastAsia"/>
                <w:sz w:val="20"/>
                <w:szCs w:val="20"/>
                <w:lang w:eastAsia="zh-CN"/>
              </w:rPr>
              <w:t>。</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通过内部沟通、员工代表参与、管理评审等活动验证组织方针的适宜性和持续适宜性。</w:t>
            </w:r>
          </w:p>
          <w:p>
            <w:pPr>
              <w:ind w:firstLine="400" w:firstLineChars="200"/>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保安服务过程，无法规规定的重大环境因素。公司环境因素</w:t>
            </w:r>
            <w:r>
              <w:rPr>
                <w:rFonts w:hint="eastAsia" w:ascii="宋体" w:hAnsi="宋体"/>
                <w:b/>
                <w:color w:val="000000" w:themeColor="text1"/>
                <w:sz w:val="20"/>
                <w:szCs w:val="20"/>
              </w:rPr>
              <w:t>辨识充分、重要环境因素评价合理性，</w:t>
            </w:r>
            <w:r>
              <w:rPr>
                <w:rFonts w:hint="eastAsia" w:ascii="宋体" w:hAnsi="宋体"/>
                <w:b/>
                <w:color w:val="000000" w:themeColor="text1"/>
                <w:spacing w:val="-8"/>
                <w:sz w:val="20"/>
                <w:szCs w:val="20"/>
              </w:rPr>
              <w:t>环境因素动态变更的及时</w:t>
            </w:r>
            <w:r>
              <w:rPr>
                <w:rFonts w:hint="eastAsia" w:ascii="宋体" w:hAnsi="宋体"/>
                <w:b/>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02" w:firstLineChars="200"/>
              <w:rPr>
                <w:rFonts w:hint="eastAsia" w:ascii="宋体" w:hAnsi="宋体" w:eastAsia="宋体"/>
                <w:b/>
                <w:color w:val="000000" w:themeColor="text1"/>
                <w:spacing w:val="-8"/>
                <w:sz w:val="20"/>
                <w:szCs w:val="20"/>
                <w:lang w:eastAsia="zh-CN"/>
              </w:rPr>
            </w:pPr>
            <w:r>
              <w:rPr>
                <w:rFonts w:hint="eastAsia"/>
                <w:b/>
                <w:color w:val="000000" w:themeColor="text1"/>
                <w:sz w:val="20"/>
                <w:szCs w:val="20"/>
                <w:lang w:val="en-US" w:eastAsia="zh-CN"/>
              </w:rPr>
              <w:t>保安服务过程，无法规规定的重大危险源因素，</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辨识充分、风险评价合理性</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危险源</w:t>
            </w:r>
            <w:r>
              <w:rPr>
                <w:rFonts w:hint="eastAsia" w:ascii="宋体" w:hAnsi="宋体"/>
                <w:b/>
                <w:color w:val="000000" w:themeColor="text1"/>
                <w:spacing w:val="-8"/>
                <w:sz w:val="20"/>
                <w:szCs w:val="20"/>
              </w:rPr>
              <w:t>因素动态变更的及时</w:t>
            </w:r>
            <w:r>
              <w:rPr>
                <w:rFonts w:hint="eastAsia" w:ascii="宋体" w:hAnsi="宋体"/>
                <w:b/>
                <w:color w:val="000000" w:themeColor="text1"/>
                <w:spacing w:val="-8"/>
                <w:sz w:val="20"/>
                <w:szCs w:val="20"/>
                <w:lang w:eastAsia="zh-CN"/>
              </w:rPr>
              <w:t>。</w:t>
            </w:r>
          </w:p>
          <w:p>
            <w:pPr>
              <w:spacing w:line="300" w:lineRule="exact"/>
              <w:rPr>
                <w:rFonts w:hint="eastAsia" w:ascii="宋体" w:hAnsi="宋体"/>
                <w:b/>
                <w:color w:val="000000" w:themeColor="text1"/>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公司会议、微信群、文件等。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200" w:firstLineChars="1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有公司级管理目标，并按照部门对目标进行分解，有目标管理管理规定，规定了目标的分解及考核的具体方法。目标可测量，与公司管理方针一致。</w:t>
            </w:r>
          </w:p>
          <w:p>
            <w:pPr>
              <w:spacing w:line="240" w:lineRule="exact"/>
              <w:rPr>
                <w:rFonts w:ascii="宋体" w:hAnsi="宋体"/>
                <w:b/>
                <w:color w:val="000000" w:themeColor="text1"/>
              </w:rPr>
            </w:pPr>
            <w:r>
              <w:rPr>
                <w:rFonts w:hint="eastAsia" w:cs="Times New Roman" w:asciiTheme="minorEastAsia" w:hAnsiTheme="minorEastAsia" w:eastAsiaTheme="minorEastAsia"/>
                <w:color w:val="000000"/>
                <w:kern w:val="2"/>
                <w:sz w:val="20"/>
                <w:szCs w:val="20"/>
                <w:lang w:val="en-US" w:eastAsia="zh-CN" w:bidi="ar-SA"/>
              </w:rPr>
              <w:t>具体由综合办按公司管理目标考核要求统计考核公司管理目标完成情况，提交管理评审会议。查到2020年公司管理目标完成情况，各项目标均已完成。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查综合办管理手册、管理制度等文件均保管良好，为有效版本，有受控标识。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综合办负责收集有关产品的国家标准、行业标准的最新版本，分发到相关部门使用；收回旧标准。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00" w:firstLineChars="1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上岗前经过岗前培训，公司设教育培训部，主要针对安保服务人员的培训，上岗人员均经过专业培训。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公司场所设施完善，安保服务处人员配置保安服、警用电棍、钢叉、警盾等必要设施； 消防器材配置符合保安管理条例要求。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7"/>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现场观察办公区、服务工作场所温湿度适宜，照明良好，满足办公和服务工需求。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eastAsia="宋体"/>
                <w:b/>
                <w:color w:val="000000" w:themeColor="text1"/>
                <w:sz w:val="20"/>
                <w:szCs w:val="20"/>
                <w:lang w:val="en-US" w:eastAsia="zh-CN"/>
              </w:rPr>
            </w:pPr>
            <w:r>
              <w:rPr>
                <w:rFonts w:hint="eastAsia" w:asciiTheme="minorEastAsia" w:hAnsiTheme="minorEastAsia" w:eastAsiaTheme="minorEastAsia"/>
                <w:color w:val="000000"/>
                <w:sz w:val="20"/>
                <w:szCs w:val="20"/>
                <w:lang w:val="en-US" w:eastAsia="zh-CN"/>
              </w:rPr>
              <w:t>企业运行过程所需的知识从内部来源获取，服务人员有以往多年工作经验，公司老员工负有对新员工进行的传帮带经验传授的职责。外部来源获取有：管理部门要求、顾客要求、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00" w:firstLineChars="100"/>
              <w:rPr>
                <w:rFonts w:hint="default" w:ascii="宋体" w:hAnsi="宋体" w:eastAsia="宋体"/>
                <w:b/>
                <w:color w:val="000000" w:themeColor="text1"/>
                <w:sz w:val="20"/>
                <w:szCs w:val="20"/>
                <w:lang w:val="en-US" w:eastAsia="zh-CN"/>
              </w:rPr>
            </w:pPr>
            <w:r>
              <w:rPr>
                <w:rFonts w:hint="eastAsia" w:asciiTheme="minorEastAsia" w:hAnsiTheme="minorEastAsia" w:eastAsiaTheme="minorEastAsia"/>
                <w:color w:val="000000"/>
                <w:sz w:val="20"/>
                <w:szCs w:val="20"/>
                <w:lang w:val="en-US" w:eastAsia="zh-CN"/>
              </w:rPr>
              <w:t>公司和服务场所配</w:t>
            </w:r>
            <w:r>
              <w:rPr>
                <w:rFonts w:hint="eastAsia" w:asciiTheme="minorEastAsia" w:hAnsiTheme="minorEastAsia" w:eastAsiaTheme="minorEastAsia"/>
                <w:color w:val="000000"/>
                <w:sz w:val="20"/>
                <w:szCs w:val="20"/>
              </w:rPr>
              <w:t>消防器材、</w:t>
            </w:r>
            <w:r>
              <w:rPr>
                <w:rFonts w:hint="eastAsia" w:asciiTheme="minorEastAsia" w:hAnsiTheme="minorEastAsia" w:eastAsiaTheme="minorEastAsia"/>
                <w:color w:val="000000"/>
                <w:sz w:val="20"/>
                <w:szCs w:val="20"/>
                <w:lang w:val="en-US" w:eastAsia="zh-CN"/>
              </w:rPr>
              <w:t>配电及设备配安全警示</w:t>
            </w:r>
            <w:r>
              <w:rPr>
                <w:rFonts w:hint="eastAsia" w:asciiTheme="minorEastAsia" w:hAnsiTheme="minorEastAsia" w:eastAsiaTheme="minorEastAsia"/>
                <w:color w:val="000000"/>
                <w:sz w:val="20"/>
                <w:szCs w:val="20"/>
              </w:rPr>
              <w:t>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rFonts w:hint="eastAsia" w:asciiTheme="minorEastAsia" w:hAnsiTheme="minorEastAsia" w:eastAsiaTheme="minorEastAsia"/>
                <w:color w:val="000000"/>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w:t>
            </w:r>
            <w:r>
              <w:rPr>
                <w:rFonts w:hint="eastAsia" w:asciiTheme="minorEastAsia" w:hAnsiTheme="minorEastAsia" w:eastAsiaTheme="minorEastAsia"/>
                <w:color w:val="000000"/>
                <w:sz w:val="20"/>
                <w:szCs w:val="20"/>
                <w:lang w:eastAsia="zh-CN"/>
              </w:rPr>
              <w:t>综合办</w:t>
            </w:r>
            <w:r>
              <w:rPr>
                <w:rFonts w:hint="eastAsia" w:asciiTheme="minorEastAsia" w:hAnsiTheme="minorEastAsia" w:eastAsiaTheme="minorEastAsia"/>
                <w:color w:val="000000"/>
                <w:sz w:val="20"/>
                <w:szCs w:val="20"/>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Theme="minorEastAsia" w:hAnsiTheme="minorEastAsia" w:eastAsiaTheme="minorEastAsia"/>
                <w:color w:val="000000"/>
                <w:sz w:val="20"/>
                <w:szCs w:val="20"/>
                <w:lang w:val="en-US" w:eastAsia="zh-CN"/>
              </w:rPr>
              <w:t>公司</w:t>
            </w:r>
            <w:r>
              <w:rPr>
                <w:rFonts w:hint="eastAsia" w:asciiTheme="minorEastAsia" w:hAnsiTheme="minorEastAsia" w:eastAsiaTheme="minorEastAsia"/>
                <w:color w:val="000000"/>
                <w:sz w:val="20"/>
                <w:szCs w:val="20"/>
              </w:rPr>
              <w:t>反馈</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负责顾客要求方面的有关事宜的沟通。</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经全体员工大会选举，公司任命安全事务代表。</w:t>
            </w:r>
            <w:r>
              <w:rPr>
                <w:rFonts w:hint="eastAsia" w:asciiTheme="minorEastAsia" w:hAnsiTheme="minorEastAsia" w:eastAsiaTheme="minorEastAsia"/>
                <w:color w:val="000000"/>
                <w:sz w:val="20"/>
                <w:szCs w:val="20"/>
                <w:lang w:val="en-US" w:eastAsia="zh-CN"/>
              </w:rPr>
              <w:t xml:space="preserve"> </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办公楼周边无重大环境因素，识别的重要环境因素为办公固废置、防火等，以办公室统一处理和定期检查消防设施和电器使用情况。</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服务场所，主要环境因素如噪声，主要以对相关方的告知。服务活动本身无重大环境因素，重点在于对消防设施的检查。</w:t>
            </w:r>
          </w:p>
          <w:p>
            <w:pPr>
              <w:spacing w:line="240" w:lineRule="exact"/>
              <w:ind w:firstLine="402" w:firstLineChars="200"/>
              <w:rPr>
                <w:rFonts w:hint="default"/>
                <w:b/>
                <w:color w:val="000000" w:themeColor="text1"/>
                <w:sz w:val="20"/>
                <w:szCs w:val="20"/>
                <w:lang w:val="en-US" w:eastAsia="zh-CN"/>
              </w:rPr>
            </w:pPr>
            <w:r>
              <w:rPr>
                <w:rFonts w:hint="eastAsia"/>
                <w:b/>
                <w:color w:val="000000" w:themeColor="text1"/>
                <w:sz w:val="20"/>
                <w:szCs w:val="20"/>
                <w:lang w:val="en-US" w:eastAsia="zh-CN"/>
              </w:rPr>
              <w:t>服务场所控制结果良好。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防火措施由办公室进行定期检查消防设施和电器使用情况。服务场所人员疫情期间配戴口罩，检查进出人员温度监测，提醒配戴口罩等措施。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b/>
                <w:color w:val="000000" w:themeColor="text1"/>
                <w:spacing w:val="-4"/>
                <w:sz w:val="20"/>
                <w:szCs w:val="20"/>
              </w:rPr>
            </w:pPr>
            <w:r>
              <w:rPr>
                <w:rFonts w:hint="eastAsia"/>
                <w:sz w:val="21"/>
                <w:szCs w:val="21"/>
                <w:lang w:val="en-US" w:eastAsia="zh-CN"/>
              </w:rPr>
              <w:t>公司进行消</w:t>
            </w:r>
            <w:r>
              <w:rPr>
                <w:rFonts w:hint="eastAsia"/>
                <w:sz w:val="21"/>
                <w:szCs w:val="21"/>
              </w:rPr>
              <w:t>防灭火</w:t>
            </w:r>
            <w:r>
              <w:rPr>
                <w:rFonts w:hint="eastAsia"/>
                <w:sz w:val="21"/>
                <w:szCs w:val="21"/>
                <w:lang w:eastAsia="zh-CN"/>
              </w:rPr>
              <w:t>、</w:t>
            </w:r>
            <w:r>
              <w:rPr>
                <w:rFonts w:hint="eastAsia"/>
                <w:szCs w:val="21"/>
                <w:lang w:val="en-US" w:eastAsia="zh-CN"/>
              </w:rPr>
              <w:t>危险物品的处理、打架斗殴、交通意外事故、抢劫案件的处置、瓦斯、易燃气体泄漏应急处理等</w:t>
            </w:r>
            <w:r>
              <w:rPr>
                <w:rFonts w:hint="eastAsia"/>
                <w:sz w:val="21"/>
                <w:szCs w:val="21"/>
              </w:rPr>
              <w:t>演练，对演练过程进行了描述，并对预案的有效性进行了评价。</w:t>
            </w:r>
            <w:r>
              <w:rPr>
                <w:rFonts w:hint="eastAsia"/>
                <w:szCs w:val="21"/>
              </w:rPr>
              <w:t>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hint="eastAsia" w:asciiTheme="minorEastAsia" w:hAnsiTheme="minorEastAsia" w:eastAsiaTheme="minorEastAsia"/>
                <w:lang w:val="en-US" w:eastAsia="zh-CN"/>
              </w:rPr>
              <w:t>2020</w:t>
            </w:r>
            <w:r>
              <w:rPr>
                <w:rFonts w:hint="eastAsia" w:asciiTheme="minorEastAsia" w:hAnsiTheme="minorEastAsia" w:eastAsiaTheme="minorEastAsia"/>
              </w:rPr>
              <w:t>年内部审核实施计划》，发布了内部管理体系审核通知，计划内容有：目的、范围、审核准则、审核时间</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18~19</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szCs w:val="21"/>
              </w:rPr>
              <w:t>公司建立的质量/环境/职业健康安全管理体系基本符合</w:t>
            </w:r>
            <w:r>
              <w:rPr>
                <w:rFonts w:cs="宋体" w:asciiTheme="minorEastAsia" w:hAnsiTheme="minorEastAsia" w:eastAsiaTheme="minorEastAsia"/>
                <w:szCs w:val="21"/>
              </w:rPr>
              <w:t>GB/T19001-2016\GB/T24001-2016\ISO45001-2018</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公司依据：GB/T19001-2016\GB/T24001-2016\ISO45001-2018标准进行管理评审。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目前按标准要求平稳运行，至今暂无变更情况发生。</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查阅公司管理评审资料：</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一、管理评审时间：20</w:t>
            </w:r>
            <w:r>
              <w:rPr>
                <w:rFonts w:hint="eastAsia" w:cs="Times New Roman" w:asciiTheme="minorEastAsia" w:hAnsiTheme="minorEastAsia" w:eastAsiaTheme="minorEastAsia"/>
                <w:lang w:val="en-US" w:eastAsia="zh-CN"/>
              </w:rPr>
              <w:t>20</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eastAsia="zh-CN"/>
              </w:rPr>
              <w:t>10</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9</w:t>
            </w:r>
            <w:r>
              <w:rPr>
                <w:rFonts w:hint="eastAsia" w:cs="Times New Roman" w:asciiTheme="minorEastAsia" w:hAnsiTheme="minorEastAsia" w:eastAsiaTheme="minorEastAsia"/>
              </w:rPr>
              <w:t>日,评审方式：会议评审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参加人员：总经理、管理者代表、各部门负责人。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二、管理评审输入：</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组织环境、相关方需求、风险和机遇、公司的管理方针、管理目标、指标的执行和完成情况；产品质量和顾客满意情况；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资源的配备；纠正和预防措施情况；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以上内容通过会上工作总结、汇报等形式体现。</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三、查看“管理评审报告”，报告中对本次管理评审做了总结，评价了公司建立、运行管理体系的效果。</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四、管理评审输出/评审结论：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总体评价质量环境职业健康安全管理体系运行是有效的，资源提供是充分的，方针目标是适宜的。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服务过程不产生有害污染物，法规无要求。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2" w:firstLineChars="200"/>
              <w:rPr>
                <w:b/>
                <w:color w:val="000000" w:themeColor="text1"/>
                <w:sz w:val="20"/>
                <w:szCs w:val="20"/>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人员参加体检。无对相关危害因子的检测活动和报告。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lang w:val="en-US" w:eastAsia="zh-CN"/>
              </w:rPr>
              <w:t>不符合项已整改，基本有效。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创新情况</w:t>
            </w:r>
          </w:p>
          <w:p>
            <w:pPr>
              <w:numPr>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1531620</wp:posOffset>
            </wp:positionH>
            <wp:positionV relativeFrom="paragraph">
              <wp:posOffset>277495</wp:posOffset>
            </wp:positionV>
            <wp:extent cx="666750" cy="481965"/>
            <wp:effectExtent l="0" t="0" r="3810" b="571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66750" cy="48196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default" w:eastAsia="宋体"/>
          <w:b/>
          <w:color w:val="000000" w:themeColor="text1"/>
          <w:sz w:val="26"/>
          <w:szCs w:val="26"/>
          <w:lang w:val="en-US" w:eastAsia="zh-CN"/>
        </w:rPr>
        <w:drawing>
          <wp:anchor distT="0" distB="0" distL="114300" distR="114300" simplePos="0" relativeHeight="251664384" behindDoc="1" locked="0" layoutInCell="1" allowOverlap="1">
            <wp:simplePos x="0" y="0"/>
            <wp:positionH relativeFrom="column">
              <wp:posOffset>3041015</wp:posOffset>
            </wp:positionH>
            <wp:positionV relativeFrom="paragraph">
              <wp:posOffset>194310</wp:posOffset>
            </wp:positionV>
            <wp:extent cx="581660" cy="389890"/>
            <wp:effectExtent l="0" t="0" r="12700" b="6350"/>
            <wp:wrapNone/>
            <wp:docPr id="6" name="图片 6" descr="严剑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严剑江"/>
                    <pic:cNvPicPr>
                      <a:picLocks noChangeAspect="1"/>
                    </pic:cNvPicPr>
                  </pic:nvPicPr>
                  <pic:blipFill>
                    <a:blip r:embed="rId7"/>
                    <a:stretch>
                      <a:fillRect/>
                    </a:stretch>
                  </pic:blipFill>
                  <pic:spPr>
                    <a:xfrm>
                      <a:off x="0" y="0"/>
                      <a:ext cx="581660" cy="389890"/>
                    </a:xfrm>
                    <a:prstGeom prst="rect">
                      <a:avLst/>
                    </a:prstGeom>
                  </pic:spPr>
                </pic:pic>
              </a:graphicData>
            </a:graphic>
          </wp:anchor>
        </w:drawing>
      </w:r>
      <w:r>
        <w:rPr>
          <w:rFonts w:hint="default" w:eastAsia="宋体"/>
          <w:b/>
          <w:color w:val="000000" w:themeColor="text1"/>
          <w:sz w:val="26"/>
          <w:szCs w:val="26"/>
          <w:lang w:val="en-US" w:eastAsia="zh-CN"/>
        </w:rPr>
        <w:drawing>
          <wp:anchor distT="0" distB="0" distL="114300" distR="114300" simplePos="0" relativeHeight="251663360" behindDoc="1" locked="0" layoutInCell="1" allowOverlap="1">
            <wp:simplePos x="0" y="0"/>
            <wp:positionH relativeFrom="column">
              <wp:posOffset>2232660</wp:posOffset>
            </wp:positionH>
            <wp:positionV relativeFrom="paragraph">
              <wp:posOffset>229870</wp:posOffset>
            </wp:positionV>
            <wp:extent cx="700405" cy="346710"/>
            <wp:effectExtent l="0" t="0" r="635" b="3810"/>
            <wp:wrapNone/>
            <wp:docPr id="5" name="图片 5"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5ce310dd7f7edcbfa932cc5ea3b"/>
                    <pic:cNvPicPr>
                      <a:picLocks noChangeAspect="1"/>
                    </pic:cNvPicPr>
                  </pic:nvPicPr>
                  <pic:blipFill>
                    <a:blip r:embed="rId8"/>
                    <a:stretch>
                      <a:fillRect/>
                    </a:stretch>
                  </pic:blipFill>
                  <pic:spPr>
                    <a:xfrm>
                      <a:off x="0" y="0"/>
                      <a:ext cx="700405" cy="346710"/>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1532255</wp:posOffset>
            </wp:positionH>
            <wp:positionV relativeFrom="paragraph">
              <wp:posOffset>635</wp:posOffset>
            </wp:positionV>
            <wp:extent cx="634365" cy="320675"/>
            <wp:effectExtent l="0" t="0" r="5715" b="14605"/>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9"/>
                    <a:stretch>
                      <a:fillRect/>
                    </a:stretch>
                  </pic:blipFill>
                  <pic:spPr>
                    <a:xfrm>
                      <a:off x="0" y="0"/>
                      <a:ext cx="634365" cy="320675"/>
                    </a:xfrm>
                    <a:prstGeom prst="rect">
                      <a:avLst/>
                    </a:prstGeom>
                  </pic:spPr>
                </pic:pic>
              </a:graphicData>
            </a:graphic>
          </wp:anchor>
        </w:drawing>
      </w: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8480" behindDoc="1" locked="0" layoutInCell="1" allowOverlap="1">
            <wp:simplePos x="0" y="0"/>
            <wp:positionH relativeFrom="column">
              <wp:posOffset>792480</wp:posOffset>
            </wp:positionH>
            <wp:positionV relativeFrom="paragraph">
              <wp:posOffset>43180</wp:posOffset>
            </wp:positionV>
            <wp:extent cx="666750" cy="481965"/>
            <wp:effectExtent l="0" t="0" r="3810" b="5715"/>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6"/>
                    <a:stretch>
                      <a:fillRect/>
                    </a:stretch>
                  </pic:blipFill>
                  <pic:spPr>
                    <a:xfrm>
                      <a:off x="0" y="0"/>
                      <a:ext cx="666750" cy="48196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17</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031F3"/>
    <w:multiLevelType w:val="singleLevel"/>
    <w:tmpl w:val="94A031F3"/>
    <w:lvl w:ilvl="0" w:tentative="0">
      <w:start w:val="4"/>
      <w:numFmt w:val="decimal"/>
      <w:lvlText w:val="%1."/>
      <w:lvlJc w:val="left"/>
      <w:pPr>
        <w:tabs>
          <w:tab w:val="left" w:pos="312"/>
        </w:tabs>
      </w:pPr>
    </w:lvl>
  </w:abstractNum>
  <w:abstractNum w:abstractNumId="1">
    <w:nsid w:val="1786F1D4"/>
    <w:multiLevelType w:val="singleLevel"/>
    <w:tmpl w:val="1786F1D4"/>
    <w:lvl w:ilvl="0" w:tentative="0">
      <w:start w:val="2"/>
      <w:numFmt w:val="decimal"/>
      <w:suff w:val="nothing"/>
      <w:lvlText w:val="%1、"/>
      <w:lvlJc w:val="left"/>
    </w:lvl>
  </w:abstractNum>
  <w:abstractNum w:abstractNumId="2">
    <w:nsid w:val="282BDAF4"/>
    <w:multiLevelType w:val="singleLevel"/>
    <w:tmpl w:val="282BDAF4"/>
    <w:lvl w:ilvl="0" w:tentative="0">
      <w:start w:val="8"/>
      <w:numFmt w:val="decimal"/>
      <w:suff w:val="space"/>
      <w:lvlText w:val="%1."/>
      <w:lvlJc w:val="left"/>
    </w:lvl>
  </w:abstractNum>
  <w:abstractNum w:abstractNumId="3">
    <w:nsid w:val="2E617002"/>
    <w:multiLevelType w:val="singleLevel"/>
    <w:tmpl w:val="2E617002"/>
    <w:lvl w:ilvl="0" w:tentative="0">
      <w:start w:val="5"/>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042FB7"/>
    <w:rsid w:val="10B160B7"/>
    <w:rsid w:val="203E62F0"/>
    <w:rsid w:val="33C9326D"/>
    <w:rsid w:val="34091E26"/>
    <w:rsid w:val="36B245B1"/>
    <w:rsid w:val="61373B0A"/>
    <w:rsid w:val="6E3177AC"/>
    <w:rsid w:val="729451B3"/>
    <w:rsid w:val="7E0D3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2020-11-16T02:11:46Z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