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0559-2020-E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重庆市万州区苎溪消防器材有限公司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重庆市万州区苎溪消防器材有限公司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重庆市万州区申明坝凤仙路477号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重庆市万州区申明坝凤仙路477号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李建军</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023-58337299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唐晓波</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李建军</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消防箱体的生产所涉及的相关环境管理活动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17.12.05</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7" w:firstLineChars="148"/>
        <w:rPr>
          <w:rFonts w:ascii="宋体"/>
          <w:b/>
          <w:color w:val="000000"/>
          <w:sz w:val="20"/>
          <w:szCs w:val="20"/>
        </w:rPr>
      </w:pPr>
      <w:r>
        <w:rPr>
          <w:rFonts w:hint="eastAsia" w:ascii="宋体" w:hAnsi="宋体"/>
          <w:b/>
          <w:color w:val="000000"/>
          <w:sz w:val="20"/>
          <w:szCs w:val="20"/>
          <w:lang w:val="de-DE"/>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评审的文件有管理手册、程序文件、内部审核、管理评审、合规性报告等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rPr>
        <w:t>管理层、</w:t>
      </w:r>
      <w:r>
        <w:rPr>
          <w:rFonts w:hint="eastAsia" w:ascii="宋体" w:hAnsi="宋体"/>
          <w:szCs w:val="21"/>
          <w:lang w:eastAsia="zh-CN"/>
        </w:rPr>
        <w:t>行政部</w:t>
      </w:r>
      <w:r>
        <w:rPr>
          <w:rFonts w:hint="eastAsia" w:ascii="宋体" w:hAnsi="宋体"/>
          <w:szCs w:val="21"/>
        </w:rPr>
        <w:t>、</w:t>
      </w:r>
      <w:r>
        <w:rPr>
          <w:rFonts w:hint="eastAsia" w:ascii="宋体" w:hAnsi="宋体"/>
          <w:szCs w:val="21"/>
          <w:lang w:eastAsia="zh-CN"/>
        </w:rPr>
        <w:t>营销部</w:t>
      </w:r>
      <w:r>
        <w:rPr>
          <w:rFonts w:hint="eastAsia" w:ascii="宋体" w:hAnsi="宋体"/>
          <w:szCs w:val="21"/>
        </w:rPr>
        <w:t>、</w:t>
      </w:r>
      <w:r>
        <w:rPr>
          <w:rFonts w:hint="eastAsia" w:ascii="宋体" w:hAnsi="宋体"/>
          <w:szCs w:val="21"/>
          <w:lang w:eastAsia="zh-CN"/>
        </w:rPr>
        <w:t>生技部、</w:t>
      </w:r>
      <w:r>
        <w:rPr>
          <w:rFonts w:hint="eastAsia" w:ascii="宋体" w:hAnsi="宋体"/>
          <w:szCs w:val="21"/>
        </w:rPr>
        <w:t>财务部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场所：办公场所、生产场所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280"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280"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lang w:eastAsia="zh-CN"/>
              </w:rPr>
              <w:t>消防箱体的生产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lang w:eastAsia="zh-CN"/>
              </w:rPr>
              <w:t>行政部</w:t>
            </w:r>
            <w:r>
              <w:rPr>
                <w:rFonts w:hint="eastAsia" w:ascii="宋体" w:hAnsi="宋体"/>
                <w:szCs w:val="21"/>
              </w:rPr>
              <w:t>、</w:t>
            </w:r>
            <w:r>
              <w:rPr>
                <w:rFonts w:hint="eastAsia" w:ascii="宋体" w:hAnsi="宋体"/>
                <w:szCs w:val="21"/>
                <w:lang w:eastAsia="zh-CN"/>
              </w:rPr>
              <w:t>营销部</w:t>
            </w:r>
            <w:r>
              <w:rPr>
                <w:rFonts w:hint="eastAsia" w:ascii="宋体" w:hAnsi="宋体"/>
                <w:szCs w:val="21"/>
              </w:rPr>
              <w:t>、</w:t>
            </w:r>
            <w:r>
              <w:rPr>
                <w:rFonts w:hint="eastAsia" w:ascii="宋体" w:hAnsi="宋体"/>
                <w:szCs w:val="21"/>
                <w:lang w:eastAsia="zh-CN"/>
              </w:rPr>
              <w:t>生技部、</w:t>
            </w:r>
            <w:r>
              <w:rPr>
                <w:rFonts w:hint="eastAsia" w:ascii="宋体" w:hAnsi="宋体"/>
                <w:szCs w:val="21"/>
              </w:rPr>
              <w:t>财务部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w:t>
            </w:r>
            <w:r>
              <w:rPr>
                <w:rFonts w:hint="eastAsia" w:ascii="宋体" w:hAnsi="宋体"/>
                <w:color w:val="000000"/>
                <w:sz w:val="20"/>
                <w:szCs w:val="20"/>
                <w:lang w:val="en-US" w:eastAsia="zh-CN"/>
              </w:rPr>
              <w:t>无</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lang w:eastAsia="zh-CN"/>
              </w:rPr>
              <w:t>重庆市万州区申明坝凤仙路477号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highlight w:val="none"/>
              </w:rPr>
              <w:t>自建厂房</w:t>
            </w:r>
            <w:r>
              <w:rPr>
                <w:rFonts w:hint="eastAsia" w:ascii="宋体" w:hAnsi="宋体"/>
                <w:color w:val="000000"/>
                <w:spacing w:val="-10"/>
                <w:sz w:val="20"/>
                <w:szCs w:val="20"/>
              </w:rPr>
              <w:t>□租用办公用房</w:t>
            </w:r>
            <w:r>
              <w:rPr>
                <w:rFonts w:hint="eastAsia" w:ascii="宋体" w:hAnsi="宋体"/>
                <w:color w:val="000000"/>
                <w:spacing w:val="-10"/>
                <w:sz w:val="20"/>
                <w:szCs w:val="20"/>
                <w:highlight w:val="none"/>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highlight w:val="none"/>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pacing w:val="-10"/>
                <w:sz w:val="20"/>
                <w:szCs w:val="20"/>
                <w:highlight w:val="none"/>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highlight w:val="none"/>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 xml:space="preserve">  </w:t>
            </w:r>
            <w:r>
              <w:rPr>
                <w:rFonts w:hint="eastAsia" w:ascii="宋体" w:hAnsi="宋体"/>
                <w:color w:val="000000"/>
                <w:sz w:val="20"/>
                <w:szCs w:val="20"/>
              </w:rPr>
              <w:t>种产品，规格</w:t>
            </w:r>
            <w:r>
              <w:rPr>
                <w:rFonts w:hint="eastAsia" w:ascii="宋体" w:hAnsi="宋体"/>
                <w:color w:val="000000"/>
                <w:sz w:val="20"/>
                <w:szCs w:val="20"/>
                <w:lang w:val="en-US" w:eastAsia="zh-CN"/>
              </w:rPr>
              <w:t xml:space="preserve">   </w:t>
            </w:r>
            <w:r>
              <w:rPr>
                <w:rFonts w:hint="eastAsia" w:ascii="宋体" w:hAnsi="宋体"/>
                <w:color w:val="000000"/>
                <w:sz w:val="20"/>
                <w:szCs w:val="20"/>
              </w:rPr>
              <w:t>型号</w:t>
            </w:r>
            <w:r>
              <w:rPr>
                <w:rFonts w:hint="eastAsia" w:ascii="宋体" w:hAnsi="宋体"/>
                <w:color w:val="000000"/>
                <w:sz w:val="20"/>
                <w:szCs w:val="20"/>
                <w:lang w:val="en-US" w:eastAsia="zh-CN"/>
              </w:rPr>
              <w:t xml:space="preserve">    </w:t>
            </w:r>
            <w:r>
              <w:rPr>
                <w:rFonts w:hint="eastAsia" w:ascii="宋体" w:hAnsi="宋体"/>
                <w:color w:val="000000"/>
                <w:sz w:val="20"/>
                <w:szCs w:val="20"/>
              </w:rPr>
              <w:t>种</w:t>
            </w:r>
            <w:r>
              <w:rPr>
                <w:rFonts w:hint="eastAsia" w:ascii="宋体" w:hAnsi="宋体"/>
                <w:color w:val="000000"/>
                <w:sz w:val="20"/>
                <w:szCs w:val="20"/>
                <w:lang w:val="en-US" w:eastAsia="zh-CN"/>
              </w:rPr>
              <w:t xml:space="preserve">  </w:t>
            </w:r>
            <w:r>
              <w:rPr>
                <w:rFonts w:hint="eastAsia" w:ascii="宋体" w:hAnsi="宋体"/>
                <w:color w:val="000000"/>
                <w:sz w:val="20"/>
                <w:szCs w:val="20"/>
              </w:rPr>
              <w:t>有</w:t>
            </w:r>
            <w:r>
              <w:rPr>
                <w:rFonts w:hint="eastAsia" w:ascii="宋体" w:hAnsi="宋体"/>
                <w:color w:val="000000"/>
                <w:sz w:val="20"/>
                <w:szCs w:val="20"/>
                <w:lang w:val="en-US" w:eastAsia="zh-CN"/>
              </w:rPr>
              <w:t xml:space="preserve">      </w:t>
            </w:r>
            <w:r>
              <w:rPr>
                <w:rFonts w:hint="eastAsia" w:ascii="宋体" w:hAnsi="宋体"/>
                <w:color w:val="000000"/>
                <w:sz w:val="20"/>
                <w:szCs w:val="20"/>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highlight w:val="non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sz w:val="20"/>
                <w:szCs w:val="20"/>
              </w:rPr>
              <w:t>■</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是否有环境影响评价报告或环境影响评价表</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是否有环境影响评价报告或环境影响评价表批复</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环境影响评价报告与企业申请认证范围是否一致</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是否有排污许可证</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是否提供近期环境监测报告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环境执行标准：《工业企业厂界环境噪声排放标准》（GB 12348-2008）2类标准</w:t>
            </w:r>
            <w:r>
              <w:rPr>
                <w:rFonts w:hint="eastAsia" w:ascii="宋体"/>
                <w:color w:val="000000"/>
                <w:sz w:val="20"/>
                <w:szCs w:val="20"/>
                <w:lang w:eastAsia="zh-CN"/>
              </w:rPr>
              <w:t>、</w:t>
            </w:r>
            <w:r>
              <w:rPr>
                <w:rFonts w:hint="eastAsia" w:ascii="宋体"/>
                <w:color w:val="000000"/>
                <w:sz w:val="20"/>
                <w:szCs w:val="20"/>
              </w:rPr>
              <w:t>《大气污染物综合排放标准》（DB50/418-2016）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b/>
                <w:bCs/>
                <w:color w:val="000000"/>
                <w:sz w:val="20"/>
                <w:szCs w:val="20"/>
              </w:rPr>
              <w:t>重要环境因素控制情况（</w:t>
            </w:r>
            <w:r>
              <w:rPr>
                <w:rFonts w:ascii="宋体"/>
                <w:b/>
                <w:bCs/>
                <w:color w:val="000000"/>
                <w:sz w:val="20"/>
                <w:szCs w:val="20"/>
              </w:rPr>
              <w:t>EMS</w:t>
            </w:r>
            <w:r>
              <w:rPr>
                <w:rFonts w:hint="eastAsia" w:ascii="宋体"/>
                <w:b/>
                <w:bCs/>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hAnsi="宋体" w:cs="宋体"/>
                <w:sz w:val="18"/>
                <w:szCs w:val="18"/>
              </w:rPr>
              <w:t>固体废弃物</w:t>
            </w:r>
            <w:r>
              <w:rPr>
                <w:rFonts w:hint="eastAsia" w:ascii="宋体" w:hAnsi="宋体" w:cs="宋体"/>
                <w:sz w:val="18"/>
                <w:szCs w:val="18"/>
                <w:lang w:eastAsia="zh-CN"/>
              </w:rPr>
              <w:t>、</w:t>
            </w:r>
            <w:r>
              <w:rPr>
                <w:rFonts w:hint="eastAsia" w:ascii="宋体" w:hAnsi="宋体" w:cs="宋体"/>
                <w:sz w:val="18"/>
                <w:szCs w:val="18"/>
              </w:rPr>
              <w:t>火灾、爆炸（化学品存放、易燃品的存放、电气设备的运行）</w:t>
            </w:r>
            <w:r>
              <w:rPr>
                <w:rFonts w:hint="eastAsia" w:ascii="宋体" w:hAnsi="宋体" w:cs="宋体"/>
                <w:sz w:val="18"/>
                <w:szCs w:val="18"/>
                <w:lang w:eastAsia="zh-CN"/>
              </w:rPr>
              <w:t>、</w:t>
            </w:r>
            <w:r>
              <w:rPr>
                <w:rFonts w:hint="eastAsia" w:ascii="宋体" w:hAnsi="宋体" w:cs="宋体"/>
                <w:sz w:val="18"/>
                <w:szCs w:val="18"/>
              </w:rPr>
              <w:t>噪声的排放</w:t>
            </w:r>
            <w:r>
              <w:rPr>
                <w:rFonts w:hint="eastAsia" w:ascii="宋体" w:hAnsi="宋体" w:cs="宋体"/>
                <w:sz w:val="18"/>
                <w:szCs w:val="18"/>
                <w:lang w:eastAsia="zh-CN"/>
              </w:rPr>
              <w:t>、</w:t>
            </w:r>
            <w:r>
              <w:rPr>
                <w:rFonts w:hint="eastAsia" w:ascii="宋体" w:hAnsi="宋体" w:cs="宋体"/>
                <w:sz w:val="18"/>
                <w:szCs w:val="18"/>
              </w:rPr>
              <w:t>废气排放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应急预案有：火灾应急预案</w:t>
            </w:r>
            <w:r>
              <w:rPr>
                <w:rFonts w:hint="eastAsia" w:ascii="宋体"/>
                <w:color w:val="000000"/>
                <w:sz w:val="20"/>
                <w:szCs w:val="20"/>
                <w:lang w:eastAsia="zh-CN"/>
              </w:rPr>
              <w:t>，环境污染与突发环境事故应急预案</w:t>
            </w:r>
            <w:r>
              <w:rPr>
                <w:rFonts w:hint="eastAsia" w:ascii="宋体"/>
                <w:color w:val="00000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b/>
                <w:bCs/>
                <w:color w:val="000000"/>
                <w:sz w:val="20"/>
                <w:szCs w:val="20"/>
              </w:rPr>
              <w:t>不可接受风险控制情况（</w:t>
            </w:r>
            <w:r>
              <w:rPr>
                <w:rFonts w:ascii="宋体"/>
                <w:b/>
                <w:bCs/>
                <w:color w:val="000000"/>
                <w:sz w:val="20"/>
                <w:szCs w:val="20"/>
              </w:rPr>
              <w:t>OHS</w:t>
            </w:r>
            <w:r>
              <w:rPr>
                <w:rFonts w:hint="eastAsia" w:ascii="宋体"/>
                <w:b/>
                <w:bCs/>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11</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行政部、生技部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办公场所、生产场所。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建立有《内部审核管理制度》，于20</w:t>
            </w:r>
            <w:r>
              <w:rPr>
                <w:rFonts w:hint="eastAsia" w:ascii="宋体" w:hAnsi="宋体"/>
                <w:b/>
                <w:color w:val="000000"/>
                <w:sz w:val="20"/>
                <w:szCs w:val="20"/>
                <w:lang w:val="en-US" w:eastAsia="zh-CN"/>
              </w:rPr>
              <w:t>20</w:t>
            </w:r>
            <w:r>
              <w:rPr>
                <w:rFonts w:hint="eastAsia" w:ascii="宋体" w:hAnsi="宋体"/>
                <w:b/>
                <w:color w:val="000000"/>
                <w:sz w:val="20"/>
                <w:szCs w:val="20"/>
              </w:rPr>
              <w:t>年</w:t>
            </w:r>
            <w:r>
              <w:rPr>
                <w:rFonts w:hint="eastAsia" w:ascii="宋体" w:hAnsi="宋体"/>
                <w:b/>
                <w:color w:val="000000"/>
                <w:sz w:val="20"/>
                <w:szCs w:val="20"/>
                <w:lang w:val="en-US" w:eastAsia="zh-CN"/>
              </w:rPr>
              <w:t>8</w:t>
            </w:r>
            <w:r>
              <w:rPr>
                <w:rFonts w:hint="eastAsia" w:ascii="宋体" w:hAnsi="宋体"/>
                <w:b/>
                <w:color w:val="000000"/>
                <w:sz w:val="20"/>
                <w:szCs w:val="20"/>
              </w:rPr>
              <w:t>月</w:t>
            </w:r>
            <w:r>
              <w:rPr>
                <w:rFonts w:hint="eastAsia" w:ascii="宋体" w:hAnsi="宋体"/>
                <w:b/>
                <w:color w:val="000000"/>
                <w:sz w:val="20"/>
                <w:szCs w:val="20"/>
                <w:lang w:val="en-US" w:eastAsia="zh-CN"/>
              </w:rPr>
              <w:t>11日</w:t>
            </w:r>
            <w:r>
              <w:rPr>
                <w:rFonts w:hint="eastAsia" w:ascii="宋体" w:hAnsi="宋体"/>
                <w:b/>
                <w:color w:val="000000"/>
                <w:sz w:val="20"/>
                <w:szCs w:val="20"/>
              </w:rPr>
              <w:t>进行了内部审核。内部审核组由：</w:t>
            </w:r>
            <w:r>
              <w:rPr>
                <w:rFonts w:hint="eastAsia"/>
                <w:sz w:val="18"/>
                <w:szCs w:val="18"/>
                <w:highlight w:val="none"/>
                <w:lang w:val="en-US" w:eastAsia="zh-CN"/>
              </w:rPr>
              <w:t>李建军</w:t>
            </w:r>
            <w:r>
              <w:rPr>
                <w:rFonts w:hint="eastAsia"/>
                <w:sz w:val="18"/>
                <w:szCs w:val="18"/>
                <w:highlight w:val="none"/>
              </w:rPr>
              <w:t>（组长）、</w:t>
            </w:r>
            <w:r>
              <w:rPr>
                <w:rFonts w:hint="eastAsia"/>
                <w:sz w:val="18"/>
                <w:szCs w:val="18"/>
                <w:highlight w:val="none"/>
                <w:lang w:val="en-US" w:eastAsia="zh-CN"/>
              </w:rPr>
              <w:t>杨勇</w:t>
            </w:r>
            <w:r>
              <w:rPr>
                <w:rFonts w:hint="eastAsia"/>
                <w:sz w:val="18"/>
                <w:szCs w:val="18"/>
                <w:highlight w:val="none"/>
              </w:rPr>
              <w:t>（组员）</w:t>
            </w:r>
            <w:r>
              <w:rPr>
                <w:rFonts w:hint="eastAsia" w:ascii="宋体" w:hAnsi="宋体"/>
                <w:b/>
                <w:color w:val="000000"/>
                <w:sz w:val="18"/>
                <w:szCs w:val="18"/>
                <w:highlight w:val="none"/>
              </w:rPr>
              <w:t>组</w:t>
            </w:r>
            <w:r>
              <w:rPr>
                <w:rFonts w:hint="eastAsia" w:ascii="宋体" w:hAnsi="宋体"/>
                <w:b/>
                <w:color w:val="000000"/>
                <w:sz w:val="20"/>
                <w:szCs w:val="20"/>
              </w:rPr>
              <w:t>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w:t>
            </w:r>
          </w:p>
          <w:p>
            <w:pPr>
              <w:spacing w:line="260" w:lineRule="exact"/>
              <w:rPr>
                <w:rFonts w:ascii="宋体" w:hAnsi="宋体"/>
                <w:b/>
                <w:color w:val="000000"/>
                <w:sz w:val="20"/>
                <w:szCs w:val="20"/>
              </w:rPr>
            </w:pPr>
            <w:r>
              <w:rPr>
                <w:rFonts w:ascii="宋体" w:hAnsi="宋体"/>
                <w:b/>
                <w:color w:val="000000"/>
                <w:sz w:val="20"/>
                <w:szCs w:val="20"/>
              </w:rPr>
              <w:t>审核范围:</w:t>
            </w:r>
            <w:r>
              <w:rPr>
                <w:rFonts w:hint="eastAsia" w:ascii="宋体" w:hAnsi="宋体"/>
                <w:b/>
                <w:color w:val="000000"/>
                <w:sz w:val="20"/>
                <w:szCs w:val="20"/>
              </w:rPr>
              <w:t>管理体系</w:t>
            </w:r>
            <w:r>
              <w:rPr>
                <w:rFonts w:ascii="宋体" w:hAnsi="宋体"/>
                <w:b/>
                <w:color w:val="000000"/>
                <w:sz w:val="20"/>
                <w:szCs w:val="20"/>
              </w:rPr>
              <w:t>涉及的</w:t>
            </w:r>
            <w:r>
              <w:rPr>
                <w:rFonts w:hint="eastAsia" w:ascii="宋体" w:hAnsi="宋体"/>
                <w:b/>
                <w:color w:val="000000"/>
                <w:sz w:val="20"/>
                <w:szCs w:val="20"/>
              </w:rPr>
              <w:t>公司</w:t>
            </w:r>
            <w:r>
              <w:rPr>
                <w:rFonts w:ascii="宋体" w:hAnsi="宋体"/>
                <w:b/>
                <w:color w:val="000000"/>
                <w:sz w:val="20"/>
                <w:szCs w:val="20"/>
              </w:rPr>
              <w:t>所有部门</w:t>
            </w:r>
            <w:r>
              <w:rPr>
                <w:rFonts w:hint="eastAsia" w:ascii="宋体" w:hAnsi="宋体"/>
                <w:b/>
                <w:color w:val="000000"/>
                <w:sz w:val="20"/>
                <w:szCs w:val="20"/>
              </w:rPr>
              <w:t>、服务场所</w:t>
            </w:r>
            <w:r>
              <w:rPr>
                <w:rFonts w:ascii="宋体" w:hAnsi="宋体"/>
                <w:b/>
                <w:color w:val="000000"/>
                <w:sz w:val="20"/>
                <w:szCs w:val="20"/>
              </w:rPr>
              <w:t>及</w:t>
            </w:r>
            <w:r>
              <w:rPr>
                <w:rFonts w:hint="eastAsia" w:ascii="宋体" w:hAnsi="宋体"/>
                <w:b/>
                <w:color w:val="000000"/>
                <w:sz w:val="20"/>
                <w:szCs w:val="20"/>
              </w:rPr>
              <w:t>活动场所</w:t>
            </w:r>
            <w:r>
              <w:rPr>
                <w:rFonts w:ascii="宋体" w:hAnsi="宋体"/>
                <w:b/>
                <w:color w:val="000000"/>
                <w:sz w:val="20"/>
                <w:szCs w:val="20"/>
              </w:rPr>
              <w:t>。</w:t>
            </w:r>
          </w:p>
          <w:p>
            <w:pPr>
              <w:spacing w:line="260" w:lineRule="exact"/>
              <w:rPr>
                <w:rFonts w:ascii="宋体"/>
                <w:b/>
                <w:color w:val="000000"/>
                <w:sz w:val="20"/>
                <w:szCs w:val="20"/>
              </w:rPr>
            </w:pPr>
            <w:r>
              <w:rPr>
                <w:rFonts w:ascii="宋体" w:hAnsi="宋体"/>
                <w:b/>
                <w:color w:val="000000"/>
                <w:sz w:val="20"/>
                <w:szCs w:val="20"/>
              </w:rPr>
              <w:t>审核准则：</w:t>
            </w:r>
            <w:r>
              <w:rPr>
                <w:rFonts w:hint="eastAsia" w:ascii="宋体" w:hAnsi="宋体"/>
                <w:b/>
                <w:color w:val="000000"/>
                <w:sz w:val="20"/>
                <w:szCs w:val="20"/>
              </w:rPr>
              <w:t>a.GB/T 24001-2016标准</w:t>
            </w:r>
            <w:r>
              <w:rPr>
                <w:rFonts w:ascii="宋体" w:hAnsi="宋体"/>
                <w:b/>
                <w:color w:val="000000"/>
                <w:sz w:val="20"/>
                <w:szCs w:val="20"/>
              </w:rPr>
              <w:t>；</w:t>
            </w:r>
            <w:r>
              <w:rPr>
                <w:rFonts w:hint="eastAsia" w:ascii="宋体" w:hAnsi="宋体"/>
                <w:b/>
                <w:color w:val="000000"/>
                <w:sz w:val="20"/>
                <w:szCs w:val="20"/>
              </w:rPr>
              <w:t xml:space="preserve"> b.</w:t>
            </w:r>
            <w:r>
              <w:rPr>
                <w:rFonts w:ascii="宋体" w:hAnsi="宋体"/>
                <w:b/>
                <w:color w:val="000000"/>
                <w:sz w:val="20"/>
                <w:szCs w:val="20"/>
              </w:rPr>
              <w:t>本公司管理体系文件；</w:t>
            </w:r>
            <w:r>
              <w:rPr>
                <w:rFonts w:hint="eastAsia" w:ascii="宋体" w:hAnsi="宋体"/>
                <w:b/>
                <w:color w:val="000000"/>
                <w:sz w:val="20"/>
                <w:szCs w:val="20"/>
              </w:rPr>
              <w:t>c.</w:t>
            </w:r>
            <w:r>
              <w:rPr>
                <w:rFonts w:ascii="宋体" w:hAnsi="宋体"/>
                <w:b/>
                <w:color w:val="000000"/>
                <w:sz w:val="20"/>
                <w:szCs w:val="20"/>
              </w:rPr>
              <w:t>相关的法律法规；</w:t>
            </w:r>
            <w:r>
              <w:rPr>
                <w:rFonts w:hint="eastAsia" w:ascii="宋体" w:hAnsi="宋体"/>
                <w:b/>
                <w:color w:val="000000"/>
                <w:sz w:val="20"/>
                <w:szCs w:val="20"/>
              </w:rPr>
              <w:t xml:space="preserve"> d.顾客及</w:t>
            </w:r>
            <w:r>
              <w:rPr>
                <w:rFonts w:ascii="宋体" w:hAnsi="宋体"/>
                <w:b/>
                <w:color w:val="000000"/>
                <w:sz w:val="20"/>
                <w:szCs w:val="20"/>
              </w:rPr>
              <w:t>相关方要求</w:t>
            </w:r>
            <w:r>
              <w:rPr>
                <w:rFonts w:hint="eastAsia" w:ascii="宋体" w:hAnsi="宋体"/>
                <w:b/>
                <w:color w:val="000000"/>
                <w:sz w:val="20"/>
                <w:szCs w:val="20"/>
              </w:rPr>
              <w:t>等</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hint="eastAsia" w:ascii="宋体" w:hAnsi="宋体"/>
                <w:b/>
                <w:color w:val="000000"/>
                <w:sz w:val="20"/>
                <w:szCs w:val="20"/>
              </w:rPr>
            </w:pPr>
            <w:r>
              <w:rPr>
                <w:rFonts w:hint="eastAsia" w:ascii="宋体" w:hAnsi="宋体"/>
                <w:b/>
                <w:color w:val="000000"/>
                <w:sz w:val="20"/>
                <w:szCs w:val="20"/>
              </w:rPr>
              <w:t>本次内审对GB/T 24001-2016标准体系文件管理手册、体系文件进行了全面检查，公司质量、环境、安全管理体系的建立符合标准要求、实施是有效的。</w:t>
            </w:r>
          </w:p>
          <w:p>
            <w:pPr>
              <w:spacing w:line="260" w:lineRule="exact"/>
              <w:rPr>
                <w:rFonts w:ascii="宋体"/>
                <w:b/>
                <w:color w:val="000000"/>
                <w:sz w:val="20"/>
                <w:szCs w:val="20"/>
              </w:rPr>
            </w:pPr>
            <w:r>
              <w:rPr>
                <w:rFonts w:hint="eastAsia" w:ascii="宋体" w:hAnsi="宋体"/>
                <w:b/>
                <w:color w:val="000000"/>
                <w:sz w:val="20"/>
                <w:szCs w:val="20"/>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w:t>
            </w:r>
          </w:p>
          <w:p>
            <w:pPr>
              <w:spacing w:line="260" w:lineRule="exact"/>
              <w:rPr>
                <w:rFonts w:ascii="宋体"/>
                <w:b/>
                <w:color w:val="000000"/>
                <w:sz w:val="20"/>
                <w:szCs w:val="20"/>
              </w:rPr>
            </w:pPr>
            <w:r>
              <w:rPr>
                <w:rFonts w:hint="eastAsia" w:ascii="宋体" w:hAnsi="宋体"/>
                <w:b/>
                <w:color w:val="000000"/>
                <w:sz w:val="20"/>
                <w:szCs w:val="20"/>
              </w:rPr>
              <w:t>建立有《管理评审控制程序》，于20</w:t>
            </w:r>
            <w:r>
              <w:rPr>
                <w:rFonts w:hint="eastAsia" w:ascii="宋体" w:hAnsi="宋体"/>
                <w:b/>
                <w:color w:val="000000"/>
                <w:sz w:val="20"/>
                <w:szCs w:val="20"/>
                <w:lang w:val="en-US" w:eastAsia="zh-CN"/>
              </w:rPr>
              <w:t>20</w:t>
            </w:r>
            <w:r>
              <w:rPr>
                <w:rFonts w:hint="eastAsia" w:ascii="宋体" w:hAnsi="宋体"/>
                <w:b/>
                <w:color w:val="000000"/>
                <w:sz w:val="20"/>
                <w:szCs w:val="20"/>
              </w:rPr>
              <w:t>年</w:t>
            </w:r>
            <w:r>
              <w:rPr>
                <w:rFonts w:hint="eastAsia" w:ascii="宋体" w:hAnsi="宋体"/>
                <w:b/>
                <w:color w:val="000000"/>
                <w:sz w:val="20"/>
                <w:szCs w:val="20"/>
                <w:lang w:val="en-US" w:eastAsia="zh-CN"/>
              </w:rPr>
              <w:t>8</w:t>
            </w:r>
            <w:r>
              <w:rPr>
                <w:rFonts w:hint="eastAsia" w:ascii="宋体" w:hAnsi="宋体"/>
                <w:b/>
                <w:color w:val="000000"/>
                <w:sz w:val="20"/>
                <w:szCs w:val="20"/>
              </w:rPr>
              <w:t>月</w:t>
            </w:r>
            <w:r>
              <w:rPr>
                <w:rFonts w:hint="eastAsia" w:ascii="宋体" w:hAnsi="宋体"/>
                <w:b/>
                <w:color w:val="000000"/>
                <w:sz w:val="20"/>
                <w:szCs w:val="20"/>
                <w:lang w:val="en-US" w:eastAsia="zh-CN"/>
              </w:rPr>
              <w:t>25</w:t>
            </w:r>
            <w:r>
              <w:rPr>
                <w:rFonts w:hint="eastAsia" w:ascii="宋体" w:hAnsi="宋体"/>
                <w:b/>
                <w:color w:val="000000"/>
                <w:sz w:val="20"/>
                <w:szCs w:val="20"/>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
                <w:color w:val="000000"/>
                <w:sz w:val="20"/>
                <w:szCs w:val="20"/>
              </w:rPr>
              <w:t>提供主要输入材料有：各部门总结，输入信息基本充分和满足要求。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本公司的管理体系与标准的要求一致，体系策划是充分的，体系文件与公司目前的现状相一致，是适宜，体系经过现阶段的运行是有效的</w:t>
            </w:r>
            <w:r>
              <w:rPr>
                <w:rFonts w:hint="eastAsia" w:ascii="宋体" w:hAnsi="宋体"/>
                <w:b/>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ascii="宋体" w:hAnsi="宋体"/>
          <w:b/>
          <w:color w:val="000000"/>
          <w:sz w:val="20"/>
          <w:szCs w:val="20"/>
          <w:u w:val="single"/>
          <w:lang w:eastAsia="zh-CN"/>
        </w:rPr>
        <w:t>消防箱体的生产所涉及的相关环境管理活动</w:t>
      </w:r>
      <w:r>
        <w:rPr>
          <w:rFonts w:ascii="宋体" w:hAnsi="宋体"/>
          <w:b/>
          <w:color w:val="000000"/>
          <w:sz w:val="20"/>
          <w:szCs w:val="20"/>
          <w:u w:val="single"/>
        </w:rPr>
        <w:t>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1" w:firstLineChars="100"/>
        <w:rPr>
          <w:rFonts w:ascii="宋体"/>
          <w:b/>
          <w:bCs/>
          <w:color w:val="000000"/>
          <w:sz w:val="26"/>
          <w:szCs w:val="26"/>
        </w:rPr>
      </w:pPr>
      <w:r>
        <w:rPr>
          <w:rFonts w:ascii="宋体" w:hAnsi="宋体"/>
          <w:b/>
          <w:color w:val="000000"/>
        </w:rPr>
        <w:drawing>
          <wp:anchor distT="0" distB="0" distL="114300" distR="114300" simplePos="0" relativeHeight="251658240" behindDoc="0" locked="0" layoutInCell="1" allowOverlap="1">
            <wp:simplePos x="0" y="0"/>
            <wp:positionH relativeFrom="column">
              <wp:posOffset>1834515</wp:posOffset>
            </wp:positionH>
            <wp:positionV relativeFrom="paragraph">
              <wp:posOffset>269240</wp:posOffset>
            </wp:positionV>
            <wp:extent cx="869950" cy="538480"/>
            <wp:effectExtent l="0" t="0" r="13970" b="10160"/>
            <wp:wrapNone/>
            <wp:docPr id="1" name="图片 1" descr="杨珍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杨珍全"/>
                    <pic:cNvPicPr>
                      <a:picLocks noChangeAspect="1"/>
                    </pic:cNvPicPr>
                  </pic:nvPicPr>
                  <pic:blipFill>
                    <a:blip r:embed="rId6"/>
                    <a:stretch>
                      <a:fillRect/>
                    </a:stretch>
                  </pic:blipFill>
                  <pic:spPr>
                    <a:xfrm>
                      <a:off x="0" y="0"/>
                      <a:ext cx="869950" cy="538480"/>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2020.11.1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eastAsia="宋体"/>
                <w:b/>
                <w:color w:val="000000"/>
                <w:sz w:val="22"/>
                <w:szCs w:val="22"/>
                <w:lang w:eastAsia="zh-CN"/>
              </w:rPr>
              <w:drawing>
                <wp:anchor distT="0" distB="0" distL="114300" distR="114300" simplePos="0" relativeHeight="251659264" behindDoc="1" locked="0" layoutInCell="1" allowOverlap="1">
                  <wp:simplePos x="0" y="0"/>
                  <wp:positionH relativeFrom="column">
                    <wp:posOffset>570230</wp:posOffset>
                  </wp:positionH>
                  <wp:positionV relativeFrom="paragraph">
                    <wp:posOffset>89535</wp:posOffset>
                  </wp:positionV>
                  <wp:extent cx="664845" cy="411480"/>
                  <wp:effectExtent l="0" t="0" r="5715" b="0"/>
                  <wp:wrapNone/>
                  <wp:docPr id="3" name="图片 3" descr="杨珍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杨珍全"/>
                          <pic:cNvPicPr>
                            <a:picLocks noChangeAspect="1"/>
                          </pic:cNvPicPr>
                        </pic:nvPicPr>
                        <pic:blipFill>
                          <a:blip r:embed="rId6"/>
                          <a:stretch>
                            <a:fillRect/>
                          </a:stretch>
                        </pic:blipFill>
                        <pic:spPr>
                          <a:xfrm>
                            <a:off x="0" y="0"/>
                            <a:ext cx="664845" cy="411480"/>
                          </a:xfrm>
                          <a:prstGeom prst="rect">
                            <a:avLst/>
                          </a:prstGeom>
                        </pic:spPr>
                      </pic:pic>
                    </a:graphicData>
                  </a:graphic>
                </wp:anchor>
              </w:drawing>
            </w:r>
            <w:r>
              <w:rPr>
                <w:rFonts w:hint="eastAsia"/>
                <w:b/>
                <w:color w:val="000000"/>
                <w:spacing w:val="-10"/>
                <w:szCs w:val="21"/>
              </w:rPr>
              <w:t>■二阶段现场审核前不需提交书面材料的整改项（第项，共项）</w:t>
            </w:r>
          </w:p>
          <w:p>
            <w:pPr>
              <w:spacing w:line="280" w:lineRule="exact"/>
              <w:rPr>
                <w:rFonts w:hint="eastAsia" w:eastAsia="宋体"/>
                <w:b/>
                <w:color w:val="000000"/>
                <w:sz w:val="22"/>
                <w:szCs w:val="22"/>
                <w:lang w:eastAsia="zh-CN"/>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 年</w:t>
            </w:r>
            <w:r>
              <w:rPr>
                <w:rFonts w:hint="eastAsia"/>
                <w:b/>
                <w:color w:val="000000"/>
                <w:sz w:val="22"/>
                <w:szCs w:val="22"/>
                <w:lang w:val="en-US" w:eastAsia="zh-CN"/>
              </w:rPr>
              <w:t>11</w:t>
            </w:r>
            <w:r>
              <w:rPr>
                <w:rFonts w:hint="eastAsia"/>
                <w:b/>
                <w:color w:val="000000"/>
                <w:sz w:val="22"/>
                <w:szCs w:val="22"/>
              </w:rPr>
              <w:t xml:space="preserve">月  </w:t>
            </w:r>
            <w:r>
              <w:rPr>
                <w:rFonts w:hint="eastAsia"/>
                <w:b/>
                <w:color w:val="000000"/>
                <w:sz w:val="22"/>
                <w:szCs w:val="22"/>
                <w:lang w:val="en-US" w:eastAsia="zh-CN"/>
              </w:rPr>
              <w:t>1</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2020</w:t>
            </w:r>
            <w:r>
              <w:rPr>
                <w:rFonts w:hint="eastAsia"/>
                <w:b/>
                <w:color w:val="000000"/>
                <w:sz w:val="22"/>
                <w:szCs w:val="22"/>
              </w:rPr>
              <w:t xml:space="preserve">年 </w:t>
            </w:r>
            <w:r>
              <w:rPr>
                <w:rFonts w:hint="eastAsia"/>
                <w:b/>
                <w:color w:val="000000"/>
                <w:sz w:val="22"/>
                <w:szCs w:val="22"/>
                <w:lang w:val="en-US" w:eastAsia="zh-CN"/>
              </w:rPr>
              <w:t>11</w:t>
            </w:r>
            <w:r>
              <w:rPr>
                <w:rFonts w:hint="eastAsia"/>
                <w:b/>
                <w:color w:val="000000"/>
                <w:sz w:val="22"/>
                <w:szCs w:val="22"/>
              </w:rPr>
              <w:t xml:space="preserve">月  </w:t>
            </w:r>
            <w:r>
              <w:rPr>
                <w:rFonts w:hint="eastAsia"/>
                <w:b/>
                <w:color w:val="000000"/>
                <w:sz w:val="22"/>
                <w:szCs w:val="22"/>
                <w:lang w:val="en-US" w:eastAsia="zh-CN"/>
              </w:rPr>
              <w:t>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z w:val="22"/>
                <w:szCs w:val="22"/>
                <w:lang w:val="en-US" w:eastAsia="zh-CN"/>
              </w:rPr>
              <w:drawing>
                <wp:anchor distT="0" distB="0" distL="114300" distR="114300" simplePos="0" relativeHeight="251659264" behindDoc="1" locked="0" layoutInCell="1" allowOverlap="1">
                  <wp:simplePos x="0" y="0"/>
                  <wp:positionH relativeFrom="column">
                    <wp:posOffset>646430</wp:posOffset>
                  </wp:positionH>
                  <wp:positionV relativeFrom="paragraph">
                    <wp:posOffset>159385</wp:posOffset>
                  </wp:positionV>
                  <wp:extent cx="603250" cy="373380"/>
                  <wp:effectExtent l="0" t="0" r="6350" b="7620"/>
                  <wp:wrapNone/>
                  <wp:docPr id="4" name="图片 4" descr="杨珍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杨珍全"/>
                          <pic:cNvPicPr>
                            <a:picLocks noChangeAspect="1"/>
                          </pic:cNvPicPr>
                        </pic:nvPicPr>
                        <pic:blipFill>
                          <a:blip r:embed="rId6"/>
                          <a:stretch>
                            <a:fillRect/>
                          </a:stretch>
                        </pic:blipFill>
                        <pic:spPr>
                          <a:xfrm>
                            <a:off x="0" y="0"/>
                            <a:ext cx="603250" cy="373380"/>
                          </a:xfrm>
                          <a:prstGeom prst="rect">
                            <a:avLst/>
                          </a:prstGeom>
                        </pic:spPr>
                      </pic:pic>
                    </a:graphicData>
                  </a:graphic>
                </wp:anchor>
              </w:drawing>
            </w: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 xml:space="preserve">年 </w:t>
            </w:r>
            <w:r>
              <w:rPr>
                <w:rFonts w:hint="eastAsia"/>
                <w:b/>
                <w:color w:val="000000"/>
                <w:sz w:val="22"/>
                <w:szCs w:val="22"/>
                <w:lang w:val="en-US" w:eastAsia="zh-CN"/>
              </w:rPr>
              <w:t>11</w:t>
            </w:r>
            <w:r>
              <w:rPr>
                <w:rFonts w:hint="eastAsia"/>
                <w:b/>
                <w:color w:val="000000"/>
                <w:sz w:val="22"/>
                <w:szCs w:val="22"/>
              </w:rPr>
              <w:t>月</w:t>
            </w:r>
            <w:r>
              <w:rPr>
                <w:rFonts w:hint="eastAsia"/>
                <w:b/>
                <w:color w:val="000000"/>
                <w:sz w:val="22"/>
                <w:szCs w:val="22"/>
                <w:lang w:val="en-US" w:eastAsia="zh-CN"/>
              </w:rPr>
              <w:t>1</w:t>
            </w:r>
            <w:r>
              <w:rPr>
                <w:rFonts w:hint="eastAsia"/>
                <w:b/>
                <w:color w:val="000000"/>
                <w:sz w:val="22"/>
                <w:szCs w:val="22"/>
              </w:rPr>
              <w:t>日</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272B88"/>
    <w:rsid w:val="268849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2020-12-01T03:38:20Z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