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34"/>
        <w:gridCol w:w="684"/>
        <w:gridCol w:w="425"/>
        <w:gridCol w:w="425"/>
        <w:gridCol w:w="2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重庆易高实业有限公司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张小红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023-49802680</w:t>
            </w:r>
            <w:bookmarkEnd w:id="6"/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陈兵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Q：新型砂浆、增强型水泥基保温板的生产</w:t>
            </w:r>
          </w:p>
          <w:p>
            <w:r>
              <w:t>E：新型砂浆、增强型水泥基保温板的生产所涉及的相关环境管理活动</w:t>
            </w:r>
          </w:p>
          <w:p>
            <w:r>
              <w:t>O：新型砂浆、增强型水泥基保温板的生产所涉及的相关职业健康安全管理活动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Q：16.02.01;16.02.04</w:t>
            </w:r>
          </w:p>
          <w:p>
            <w:r>
              <w:t>E：16.02.01;16.02.04</w:t>
            </w:r>
          </w:p>
          <w:p>
            <w:r>
              <w:t>O：16.02.01;16.02.04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2020年11月07日 上午至2020年11月07日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何春琴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O:16.02.01,16.02.04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187 0236 8174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02" w:type="dxa"/>
            <w:gridSpan w:val="4"/>
            <w:vAlign w:val="center"/>
          </w:tcPr>
          <w:p/>
        </w:tc>
        <w:tc>
          <w:tcPr>
            <w:tcW w:w="1790" w:type="dxa"/>
            <w:gridSpan w:val="4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  <w:lang w:val="en-US" w:eastAsia="zh-CN"/>
        </w:rPr>
      </w:pPr>
    </w:p>
    <w:p>
      <w:pPr>
        <w:spacing w:line="300" w:lineRule="exact"/>
        <w:rPr>
          <w:rFonts w:hint="eastAsia" w:eastAsia="宋体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56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56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杨珍全、冉景洲、余家龙、文平、</w:t>
            </w:r>
            <w:r>
              <w:rPr>
                <w:rFonts w:hint="eastAsia"/>
                <w:sz w:val="21"/>
                <w:szCs w:val="21"/>
                <w:lang w:eastAsia="zh-CN"/>
              </w:rPr>
              <w:t>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6560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杨珍全、冉景洲、余家龙、文平、何春琴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bookmarkStart w:id="14" w:name="_GoBack"/>
            <w:bookmarkEnd w:id="14"/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9月1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6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杨珍全、冉景洲、余家龙、文平、</w:t>
            </w:r>
            <w:r>
              <w:rPr>
                <w:rFonts w:hint="eastAsia"/>
                <w:sz w:val="21"/>
                <w:szCs w:val="21"/>
                <w:lang w:eastAsia="zh-CN"/>
              </w:rPr>
              <w:t>何春琴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C20FB"/>
    <w:rsid w:val="2D6A4F1A"/>
    <w:rsid w:val="3ECC0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2020-11-04T10:56:36Z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