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成都市更新家具有限公司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0150-2018-2020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0150-2018-2020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hint="eastAsia"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94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000"/>
        <w:gridCol w:w="17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000" w:type="dxa"/>
          </w:tcPr>
          <w:p>
            <w:pPr>
              <w:tabs>
                <w:tab w:val="left" w:pos="880"/>
              </w:tabs>
              <w:autoSpaceDE w:val="0"/>
              <w:autoSpaceDN w:val="0"/>
              <w:adjustRightInd w:val="0"/>
              <w:spacing w:before="35" w:line="276" w:lineRule="auto"/>
              <w:ind w:right="161"/>
              <w:jc w:val="center"/>
              <w:rPr>
                <w:rFonts w:hint="eastAsia" w:cs="宋体" w:asciiTheme="minorEastAsia" w:hAnsiTheme="minorEastAsia" w:eastAsiaTheme="minorEastAsia"/>
                <w:kern w:val="0"/>
                <w:szCs w:val="21"/>
                <w:lang w:eastAsia="zh-CN"/>
              </w:rPr>
            </w:pPr>
            <w:r>
              <w:rPr>
                <w:rFonts w:hint="eastAsia" w:ascii="宋体" w:hAnsi="宋体"/>
                <w:szCs w:val="21"/>
                <w:lang w:eastAsia="zh-CN"/>
              </w:rPr>
              <w:t>成都市更新家具有限公司</w:t>
            </w:r>
          </w:p>
        </w:tc>
        <w:tc>
          <w:tcPr>
            <w:tcW w:w="1750"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2445" w:type="dxa"/>
          </w:tcPr>
          <w:p>
            <w:pPr>
              <w:tabs>
                <w:tab w:val="left" w:pos="880"/>
              </w:tabs>
              <w:autoSpaceDE w:val="0"/>
              <w:autoSpaceDN w:val="0"/>
              <w:adjustRightInd w:val="0"/>
              <w:spacing w:before="35" w:line="360" w:lineRule="auto"/>
              <w:ind w:right="161" w:firstLine="420" w:firstLineChars="200"/>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冯小娟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000" w:type="dxa"/>
          </w:tcPr>
          <w:p>
            <w:pPr>
              <w:tabs>
                <w:tab w:val="left" w:pos="880"/>
              </w:tabs>
              <w:autoSpaceDE w:val="0"/>
              <w:autoSpaceDN w:val="0"/>
              <w:adjustRightInd w:val="0"/>
              <w:spacing w:before="35" w:line="276" w:lineRule="auto"/>
              <w:ind w:right="161" w:firstLine="480" w:firstLineChars="200"/>
              <w:jc w:val="center"/>
              <w:rPr>
                <w:rFonts w:hint="default" w:cs="宋体" w:asciiTheme="minorEastAsia" w:hAnsiTheme="minorEastAsia"/>
                <w:kern w:val="0"/>
                <w:szCs w:val="21"/>
                <w:lang w:val="en-US"/>
              </w:rPr>
            </w:pPr>
            <w:r>
              <w:rPr>
                <w:rFonts w:ascii="宋体" w:hAnsi="宋体" w:cs="宋体"/>
                <w:color w:val="000000" w:themeColor="text1"/>
                <w:kern w:val="0"/>
                <w:sz w:val="24"/>
                <w:szCs w:val="24"/>
              </w:rPr>
              <w:t>ISC-201</w:t>
            </w:r>
            <w:r>
              <w:rPr>
                <w:rFonts w:hint="eastAsia" w:ascii="宋体" w:hAnsi="宋体" w:cs="宋体"/>
                <w:color w:val="000000" w:themeColor="text1"/>
                <w:kern w:val="0"/>
                <w:sz w:val="24"/>
                <w:szCs w:val="24"/>
                <w:lang w:val="en-US" w:eastAsia="zh-CN"/>
              </w:rPr>
              <w:t>8</w:t>
            </w:r>
            <w:r>
              <w:rPr>
                <w:rFonts w:ascii="宋体" w:hAnsi="宋体" w:cs="宋体"/>
                <w:color w:val="000000" w:themeColor="text1"/>
                <w:kern w:val="0"/>
                <w:sz w:val="24"/>
                <w:szCs w:val="24"/>
              </w:rPr>
              <w:t>-0</w:t>
            </w:r>
            <w:r>
              <w:rPr>
                <w:rFonts w:hint="eastAsia" w:ascii="宋体" w:hAnsi="宋体" w:cs="宋体"/>
                <w:color w:val="000000" w:themeColor="text1"/>
                <w:kern w:val="0"/>
                <w:sz w:val="24"/>
                <w:szCs w:val="24"/>
                <w:lang w:val="en-US" w:eastAsia="zh-CN"/>
              </w:rPr>
              <w:t>329</w:t>
            </w:r>
          </w:p>
        </w:tc>
        <w:tc>
          <w:tcPr>
            <w:tcW w:w="1750"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2445" w:type="dxa"/>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r>
              <w:rPr>
                <w:rFonts w:ascii="宋体" w:hAnsi="宋体" w:cs="宋体"/>
                <w:color w:val="000000" w:themeColor="text1"/>
                <w:kern w:val="0"/>
                <w:szCs w:val="21"/>
              </w:rPr>
              <w:t>202</w:t>
            </w:r>
            <w:r>
              <w:rPr>
                <w:rFonts w:hint="eastAsia" w:ascii="宋体" w:hAnsi="宋体" w:cs="宋体"/>
                <w:color w:val="000000" w:themeColor="text1"/>
                <w:kern w:val="0"/>
                <w:szCs w:val="21"/>
                <w:lang w:val="en-US" w:eastAsia="zh-CN"/>
              </w:rPr>
              <w:t>3</w:t>
            </w:r>
            <w:r>
              <w:rPr>
                <w:rFonts w:hint="eastAsia" w:ascii="宋体" w:hAnsi="宋体" w:cs="宋体"/>
                <w:color w:val="000000" w:themeColor="text1"/>
                <w:kern w:val="0"/>
                <w:szCs w:val="21"/>
              </w:rPr>
              <w:t>年</w:t>
            </w:r>
            <w:r>
              <w:rPr>
                <w:rFonts w:hint="eastAsia" w:ascii="宋体" w:hAnsi="宋体" w:cs="宋体"/>
                <w:color w:val="000000" w:themeColor="text1"/>
                <w:kern w:val="0"/>
                <w:szCs w:val="21"/>
                <w:u w:val="none"/>
                <w:lang w:val="en-US" w:eastAsia="zh-CN"/>
              </w:rPr>
              <w:t>11</w:t>
            </w:r>
            <w:r>
              <w:rPr>
                <w:rFonts w:hint="eastAsia" w:ascii="宋体" w:hAnsi="宋体" w:cs="宋体"/>
                <w:color w:val="000000" w:themeColor="text1"/>
                <w:kern w:val="0"/>
                <w:szCs w:val="21"/>
              </w:rPr>
              <w:t>月</w:t>
            </w:r>
            <w:r>
              <w:rPr>
                <w:rFonts w:hint="eastAsia" w:ascii="宋体" w:hAnsi="宋体" w:cs="宋体"/>
                <w:color w:val="000000" w:themeColor="text1"/>
                <w:kern w:val="0"/>
                <w:szCs w:val="21"/>
                <w:u w:val="none"/>
                <w:lang w:val="en-US" w:eastAsia="zh-CN"/>
              </w:rPr>
              <w:t>14</w:t>
            </w:r>
            <w:r>
              <w:rPr>
                <w:rFonts w:hint="eastAsia" w:ascii="宋体" w:hAnsi="宋体" w:cs="宋体"/>
                <w:color w:val="000000" w:themeColor="text1"/>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000" w:type="dxa"/>
          </w:tcPr>
          <w:p>
            <w:pPr>
              <w:tabs>
                <w:tab w:val="left" w:pos="880"/>
              </w:tabs>
              <w:autoSpaceDE w:val="0"/>
              <w:autoSpaceDN w:val="0"/>
              <w:adjustRightInd w:val="0"/>
              <w:spacing w:before="35" w:line="276" w:lineRule="auto"/>
              <w:ind w:right="161" w:firstLine="420" w:firstLineChars="200"/>
              <w:jc w:val="center"/>
              <w:rPr>
                <w:rFonts w:cs="宋体" w:asciiTheme="minorEastAsia" w:hAnsiTheme="minorEastAsia"/>
                <w:kern w:val="0"/>
                <w:szCs w:val="21"/>
              </w:rPr>
            </w:pPr>
            <w:r>
              <w:rPr>
                <w:rFonts w:hint="eastAsia" w:ascii="宋体" w:hAnsi="宋体" w:cs="宋体"/>
                <w:kern w:val="0"/>
                <w:szCs w:val="21"/>
              </w:rPr>
              <w:t>第</w:t>
            </w:r>
            <w:r>
              <w:rPr>
                <w:rFonts w:hint="eastAsia" w:ascii="宋体" w:hAnsi="宋体" w:cs="宋体"/>
                <w:kern w:val="0"/>
                <w:szCs w:val="21"/>
                <w:lang w:val="en-US" w:eastAsia="zh-CN"/>
              </w:rPr>
              <w:t>一</w:t>
            </w:r>
            <w:r>
              <w:rPr>
                <w:rFonts w:hint="eastAsia" w:ascii="宋体" w:hAnsi="宋体" w:cs="宋体"/>
                <w:kern w:val="0"/>
                <w:szCs w:val="21"/>
              </w:rPr>
              <w:t>次监督审核</w:t>
            </w:r>
          </w:p>
        </w:tc>
        <w:tc>
          <w:tcPr>
            <w:tcW w:w="1750"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45" w:type="dxa"/>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r>
              <w:rPr>
                <w:rFonts w:hint="eastAsia" w:cs="宋体" w:asciiTheme="minorEastAsia" w:hAnsiTheme="minorEastAsia"/>
                <w:kern w:val="0"/>
                <w:szCs w:val="21"/>
              </w:rPr>
              <w:t>20</w:t>
            </w:r>
            <w:r>
              <w:rPr>
                <w:rFonts w:hint="eastAsia" w:cs="宋体" w:asciiTheme="minorEastAsia" w:hAnsiTheme="minorEastAsia"/>
                <w:kern w:val="0"/>
                <w:szCs w:val="21"/>
                <w:lang w:val="en-US" w:eastAsia="zh-CN"/>
              </w:rPr>
              <w:t>20</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11</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3-4</w:t>
            </w:r>
            <w:r>
              <w:rPr>
                <w:rFonts w:hint="eastAsia" w:cs="宋体" w:asciiTheme="minorEastAsia" w:hAnsiTheme="minor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49" w:type="dxa"/>
          </w:tcPr>
          <w:p>
            <w:pPr>
              <w:tabs>
                <w:tab w:val="left" w:pos="880"/>
              </w:tabs>
              <w:autoSpaceDE w:val="0"/>
              <w:autoSpaceDN w:val="0"/>
              <w:adjustRightInd w:val="0"/>
              <w:spacing w:before="35" w:line="276" w:lineRule="auto"/>
              <w:ind w:right="161"/>
              <w:jc w:val="left"/>
            </w:pPr>
            <w:r>
              <w:rPr>
                <w:rFonts w:hint="eastAsia"/>
              </w:rPr>
              <w:t>监督审核员</w:t>
            </w:r>
          </w:p>
          <w:p>
            <w:pPr>
              <w:tabs>
                <w:tab w:val="left" w:pos="880"/>
              </w:tabs>
              <w:autoSpaceDE w:val="0"/>
              <w:autoSpaceDN w:val="0"/>
              <w:adjustRightInd w:val="0"/>
              <w:spacing w:before="35" w:line="276" w:lineRule="auto"/>
              <w:ind w:right="161"/>
              <w:jc w:val="left"/>
            </w:pPr>
            <w:r>
              <w:rPr>
                <w:rFonts w:hint="eastAsia"/>
              </w:rPr>
              <w:t>姓名及确认号</w:t>
            </w:r>
          </w:p>
        </w:tc>
        <w:tc>
          <w:tcPr>
            <w:tcW w:w="3000" w:type="dxa"/>
          </w:tcPr>
          <w:p>
            <w:pPr>
              <w:tabs>
                <w:tab w:val="left" w:pos="880"/>
              </w:tabs>
              <w:autoSpaceDE w:val="0"/>
              <w:autoSpaceDN w:val="0"/>
              <w:adjustRightInd w:val="0"/>
              <w:spacing w:before="35" w:line="276" w:lineRule="auto"/>
              <w:ind w:right="161"/>
              <w:jc w:val="left"/>
              <w:rPr>
                <w:rFonts w:hint="eastAsia" w:ascii="宋体" w:hAnsi="宋体"/>
                <w:szCs w:val="21"/>
              </w:rPr>
            </w:pPr>
            <w:r>
              <w:rPr>
                <w:rFonts w:hint="eastAsia" w:ascii="宋体" w:hAnsi="宋体"/>
                <w:szCs w:val="21"/>
              </w:rPr>
              <w:t>李俐</w:t>
            </w:r>
            <w:r>
              <w:rPr>
                <w:rFonts w:hint="eastAsia" w:ascii="宋体" w:hAnsi="宋体"/>
                <w:szCs w:val="21"/>
                <w:lang w:val="en-US" w:eastAsia="zh-CN"/>
              </w:rPr>
              <w:t xml:space="preserve"> </w:t>
            </w:r>
            <w:r>
              <w:rPr>
                <w:rFonts w:hint="eastAsia" w:ascii="宋体" w:hAnsi="宋体"/>
                <w:szCs w:val="21"/>
              </w:rPr>
              <w:t>中认协评 [2018]72号</w:t>
            </w:r>
          </w:p>
          <w:p>
            <w:pPr>
              <w:tabs>
                <w:tab w:val="left" w:pos="880"/>
              </w:tabs>
              <w:autoSpaceDE w:val="0"/>
              <w:autoSpaceDN w:val="0"/>
              <w:adjustRightInd w:val="0"/>
              <w:spacing w:before="35" w:line="276" w:lineRule="auto"/>
              <w:ind w:right="161"/>
              <w:jc w:val="left"/>
              <w:rPr>
                <w:rFonts w:hint="eastAsia"/>
              </w:rPr>
            </w:pPr>
            <w:r>
              <w:rPr>
                <w:rFonts w:hint="eastAsia" w:ascii="宋体" w:hAnsi="宋体"/>
                <w:szCs w:val="21"/>
              </w:rPr>
              <w:t>ISC[S]0008</w:t>
            </w:r>
          </w:p>
        </w:tc>
        <w:tc>
          <w:tcPr>
            <w:tcW w:w="1750"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45" w:type="dxa"/>
          </w:tcPr>
          <w:p>
            <w:pPr>
              <w:spacing w:line="360" w:lineRule="exact"/>
              <w:jc w:val="center"/>
              <w:rPr>
                <w:rFonts w:hint="eastAsia" w:ascii="宋体" w:hAnsi="宋体" w:cs="宋体"/>
                <w:szCs w:val="21"/>
                <w:lang w:val="en-US" w:eastAsia="zh-CN"/>
              </w:rPr>
            </w:pPr>
            <w:r>
              <w:rPr>
                <w:rFonts w:hint="eastAsia" w:ascii="宋体" w:hAnsi="宋体" w:eastAsia="宋体" w:cs="宋体"/>
                <w:szCs w:val="21"/>
                <w:lang w:val="en-US" w:eastAsia="zh-CN"/>
              </w:rPr>
              <w:t>质管</w:t>
            </w:r>
            <w:r>
              <w:rPr>
                <w:rFonts w:hint="eastAsia" w:ascii="宋体" w:hAnsi="宋体" w:eastAsia="宋体" w:cs="宋体"/>
                <w:szCs w:val="21"/>
              </w:rPr>
              <w:t>部</w:t>
            </w:r>
            <w:r>
              <w:rPr>
                <w:rFonts w:hint="eastAsia" w:ascii="宋体" w:hAnsi="宋体" w:eastAsia="宋体" w:cs="宋体"/>
                <w:szCs w:val="21"/>
                <w:lang w:eastAsia="zh-CN"/>
              </w:rPr>
              <w:t>、行政部、</w:t>
            </w:r>
            <w:r>
              <w:rPr>
                <w:rFonts w:hint="eastAsia" w:ascii="宋体" w:hAnsi="宋体" w:cs="宋体"/>
                <w:szCs w:val="21"/>
                <w:lang w:val="en-US" w:eastAsia="zh-CN"/>
              </w:rPr>
              <w:t xml:space="preserve">生产部 </w:t>
            </w:r>
          </w:p>
          <w:p>
            <w:pPr>
              <w:spacing w:line="360" w:lineRule="exact"/>
              <w:jc w:val="center"/>
              <w:rPr>
                <w:rFonts w:hint="default" w:cs="宋体" w:asciiTheme="minorEastAsia" w:hAnsiTheme="minorEastAsia" w:eastAsiaTheme="minorEastAsia"/>
                <w:kern w:val="0"/>
                <w:szCs w:val="21"/>
                <w:lang w:val="en-US" w:eastAsia="zh-CN"/>
              </w:rPr>
            </w:pPr>
            <w:r>
              <w:rPr>
                <w:rFonts w:hint="eastAsia" w:ascii="宋体" w:hAnsi="宋体" w:cs="宋体"/>
                <w:szCs w:val="21"/>
                <w:lang w:val="en-US" w:eastAsia="zh-CN"/>
              </w:rPr>
              <w:t>(车间)、供应部、销售部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rPr>
      </w:pPr>
      <w:r>
        <w:rPr>
          <w:rFonts w:hint="eastAsia" w:cs="宋体" w:asciiTheme="minorEastAsia" w:hAnsiTheme="minorEastAsia"/>
          <w:bCs/>
          <w:kern w:val="0"/>
          <w:szCs w:val="21"/>
        </w:rPr>
        <w:t>一年内，</w:t>
      </w:r>
      <w:r>
        <w:rPr>
          <w:rFonts w:hint="eastAsia" w:cs="宋体" w:asciiTheme="minorEastAsia" w:hAnsiTheme="minorEastAsia"/>
          <w:bCs/>
          <w:kern w:val="0"/>
          <w:szCs w:val="21"/>
          <w:lang w:val="en-US" w:eastAsia="zh-CN"/>
        </w:rPr>
        <w:t>企业</w:t>
      </w:r>
      <w:r>
        <w:rPr>
          <w:rFonts w:hint="eastAsia" w:cs="宋体" w:asciiTheme="minorEastAsia" w:hAnsiTheme="minorEastAsia"/>
          <w:bCs/>
          <w:kern w:val="0"/>
          <w:szCs w:val="21"/>
        </w:rPr>
        <w:t>产品质量稳步上升</w:t>
      </w:r>
      <w:r>
        <w:rPr>
          <w:rFonts w:hint="eastAsia" w:cs="宋体" w:asciiTheme="minorEastAsia" w:hAnsiTheme="minorEastAsia"/>
          <w:bCs/>
          <w:kern w:val="0"/>
          <w:szCs w:val="21"/>
          <w:lang w:val="en-US" w:eastAsia="zh-CN"/>
        </w:rPr>
        <w:t>产能进一步扩大</w:t>
      </w:r>
      <w:r>
        <w:rPr>
          <w:rFonts w:hint="eastAsia" w:cs="宋体" w:asciiTheme="minorEastAsia" w:hAnsiTheme="minorEastAsia"/>
          <w:bCs/>
          <w:kern w:val="0"/>
          <w:szCs w:val="21"/>
        </w:rPr>
        <w:t>，</w:t>
      </w:r>
      <w:r>
        <w:rPr>
          <w:rFonts w:hint="eastAsia" w:cs="宋体" w:asciiTheme="minorEastAsia" w:hAnsiTheme="minorEastAsia"/>
          <w:bCs/>
          <w:kern w:val="0"/>
          <w:szCs w:val="21"/>
          <w:lang w:eastAsia="zh-CN"/>
        </w:rPr>
        <w:t>企业测量</w:t>
      </w:r>
      <w:r>
        <w:rPr>
          <w:rFonts w:hint="eastAsia" w:cs="宋体" w:asciiTheme="minorEastAsia" w:hAnsiTheme="minorEastAsia"/>
          <w:bCs/>
          <w:kern w:val="0"/>
          <w:szCs w:val="21"/>
        </w:rPr>
        <w:t>管理</w:t>
      </w:r>
      <w:r>
        <w:rPr>
          <w:rFonts w:hint="eastAsia" w:cs="宋体" w:asciiTheme="minorEastAsia" w:hAnsiTheme="minorEastAsia"/>
          <w:bCs/>
          <w:kern w:val="0"/>
          <w:szCs w:val="21"/>
          <w:lang w:eastAsia="zh-CN"/>
        </w:rPr>
        <w:t>体系日臻</w:t>
      </w:r>
      <w:r>
        <w:rPr>
          <w:rFonts w:hint="eastAsia" w:cs="宋体" w:asciiTheme="minorEastAsia" w:hAnsiTheme="minorEastAsia"/>
          <w:bCs/>
          <w:kern w:val="0"/>
          <w:szCs w:val="21"/>
        </w:rPr>
        <w:t>完善，顾客满</w:t>
      </w:r>
      <w:r>
        <w:rPr>
          <w:rFonts w:hint="eastAsia" w:cs="宋体" w:asciiTheme="minorEastAsia" w:hAnsiTheme="minorEastAsia"/>
          <w:bCs/>
          <w:kern w:val="0"/>
          <w:szCs w:val="21"/>
        </w:rPr>
        <w:t>意度</w:t>
      </w:r>
      <w:r>
        <w:rPr>
          <w:rFonts w:hint="eastAsia" w:cs="宋体" w:asciiTheme="minorEastAsia" w:hAnsiTheme="minorEastAsia"/>
          <w:bCs/>
          <w:kern w:val="0"/>
          <w:szCs w:val="21"/>
          <w:lang w:eastAsia="zh-CN"/>
        </w:rPr>
        <w:t>有所</w:t>
      </w:r>
      <w:r>
        <w:rPr>
          <w:rFonts w:hint="eastAsia" w:cs="宋体" w:asciiTheme="minorEastAsia" w:hAnsiTheme="minorEastAsia"/>
          <w:bCs/>
          <w:kern w:val="0"/>
          <w:szCs w:val="21"/>
        </w:rPr>
        <w:t>提高</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未见违反法律、法规问题或重大质量事故发生。</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监督审核过程简述：</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rPr>
        <w:t>为有效评价</w:t>
      </w:r>
      <w:r>
        <w:rPr>
          <w:rFonts w:hint="eastAsia" w:cs="宋体" w:asciiTheme="minorEastAsia" w:hAnsiTheme="minorEastAsia"/>
          <w:bCs/>
          <w:kern w:val="0"/>
          <w:szCs w:val="21"/>
          <w:lang w:eastAsia="zh-CN"/>
        </w:rPr>
        <w:t>成都市更新家具有限公司</w:t>
      </w:r>
      <w:r>
        <w:rPr>
          <w:rFonts w:hint="eastAsia" w:cs="宋体" w:asciiTheme="minorEastAsia" w:hAnsiTheme="minorEastAsia"/>
          <w:bCs/>
          <w:kern w:val="0"/>
          <w:szCs w:val="21"/>
        </w:rPr>
        <w:t>测量管理体系认证后一年以来运行情况，在</w:t>
      </w:r>
      <w:r>
        <w:rPr>
          <w:rFonts w:hint="eastAsia" w:cs="宋体" w:asciiTheme="minorEastAsia" w:hAnsiTheme="minorEastAsia"/>
          <w:bCs/>
          <w:kern w:val="0"/>
          <w:szCs w:val="21"/>
          <w:lang w:eastAsia="zh-CN"/>
        </w:rPr>
        <w:t>此次</w:t>
      </w:r>
      <w:r>
        <w:rPr>
          <w:rFonts w:hint="eastAsia" w:cs="宋体" w:asciiTheme="minorEastAsia" w:hAnsiTheme="minorEastAsia"/>
          <w:bCs/>
          <w:kern w:val="0"/>
          <w:szCs w:val="21"/>
        </w:rPr>
        <w:t>现场</w:t>
      </w:r>
      <w:r>
        <w:rPr>
          <w:rFonts w:hint="eastAsia" w:cs="宋体" w:asciiTheme="minorEastAsia" w:hAnsiTheme="minorEastAsia"/>
          <w:bCs/>
          <w:kern w:val="0"/>
          <w:szCs w:val="21"/>
          <w:lang w:val="en-US" w:eastAsia="zh-CN"/>
        </w:rPr>
        <w:t>审核</w:t>
      </w:r>
      <w:r>
        <w:rPr>
          <w:rFonts w:hint="eastAsia" w:cs="宋体" w:asciiTheme="minorEastAsia" w:hAnsiTheme="minorEastAsia"/>
          <w:bCs/>
          <w:kern w:val="0"/>
          <w:szCs w:val="21"/>
        </w:rPr>
        <w:t>中审核组先后抽样检查了</w:t>
      </w:r>
      <w:r>
        <w:rPr>
          <w:rFonts w:hint="eastAsia" w:cs="宋体" w:asciiTheme="minorEastAsia" w:hAnsiTheme="minorEastAsia"/>
          <w:bCs/>
          <w:kern w:val="0"/>
          <w:szCs w:val="21"/>
          <w:lang w:val="en-US" w:eastAsia="zh-CN"/>
        </w:rPr>
        <w:t>质管</w:t>
      </w:r>
      <w:r>
        <w:rPr>
          <w:rFonts w:hint="eastAsia" w:cs="宋体" w:asciiTheme="minorEastAsia" w:hAnsiTheme="minorEastAsia"/>
          <w:bCs/>
          <w:kern w:val="0"/>
          <w:szCs w:val="21"/>
        </w:rPr>
        <w:t>部</w:t>
      </w:r>
      <w:r>
        <w:rPr>
          <w:rFonts w:hint="eastAsia" w:cs="宋体" w:asciiTheme="minorEastAsia" w:hAnsiTheme="minorEastAsia"/>
          <w:bCs/>
          <w:kern w:val="0"/>
          <w:szCs w:val="21"/>
          <w:lang w:eastAsia="zh-CN"/>
        </w:rPr>
        <w:t>、行政部、</w:t>
      </w:r>
      <w:r>
        <w:rPr>
          <w:rFonts w:hint="eastAsia" w:cs="宋体" w:asciiTheme="minorEastAsia" w:hAnsiTheme="minorEastAsia"/>
          <w:bCs/>
          <w:kern w:val="0"/>
          <w:szCs w:val="21"/>
          <w:lang w:val="en-US" w:eastAsia="zh-CN"/>
        </w:rPr>
        <w:t>生产部 (车间)、供应部、销售部</w:t>
      </w:r>
      <w:r>
        <w:rPr>
          <w:rFonts w:hint="eastAsia" w:cs="宋体" w:asciiTheme="minorEastAsia" w:hAnsiTheme="minorEastAsia"/>
          <w:bCs/>
          <w:kern w:val="0"/>
          <w:szCs w:val="21"/>
          <w:lang w:eastAsia="zh-CN"/>
        </w:rPr>
        <w:t>等</w:t>
      </w:r>
      <w:r>
        <w:rPr>
          <w:rFonts w:hint="eastAsia" w:cs="宋体" w:asciiTheme="minorEastAsia" w:hAnsiTheme="minorEastAsia"/>
          <w:bCs/>
          <w:kern w:val="0"/>
          <w:szCs w:val="21"/>
          <w:lang w:val="en-US" w:eastAsia="zh-CN"/>
        </w:rPr>
        <w:t>部门。审核发现</w:t>
      </w:r>
      <w:r>
        <w:rPr>
          <w:rFonts w:hint="eastAsia" w:cs="宋体" w:asciiTheme="minorEastAsia" w:hAnsiTheme="minorEastAsia"/>
          <w:bCs/>
          <w:kern w:val="0"/>
          <w:szCs w:val="21"/>
          <w:lang w:eastAsia="zh-CN"/>
        </w:rPr>
        <w:t>成都市更新家具有限公司</w:t>
      </w:r>
      <w:r>
        <w:rPr>
          <w:rFonts w:hint="eastAsia" w:cs="宋体" w:asciiTheme="minorEastAsia" w:hAnsiTheme="minorEastAsia"/>
          <w:bCs/>
          <w:kern w:val="0"/>
          <w:szCs w:val="21"/>
          <w:lang w:val="en-US" w:eastAsia="zh-CN"/>
        </w:rPr>
        <w:t>根据测量管理体系的一年运行情况对</w:t>
      </w:r>
      <w:r>
        <w:rPr>
          <w:rFonts w:hint="eastAsia" w:cs="宋体" w:asciiTheme="minorEastAsia" w:hAnsiTheme="minorEastAsia"/>
          <w:bCs/>
          <w:kern w:val="0"/>
          <w:szCs w:val="21"/>
        </w:rPr>
        <w:t>测量管理体系文件</w:t>
      </w:r>
      <w:r>
        <w:rPr>
          <w:rFonts w:hint="eastAsia" w:cs="宋体" w:asciiTheme="minorEastAsia" w:hAnsiTheme="minorEastAsia"/>
          <w:bCs/>
          <w:kern w:val="0"/>
          <w:szCs w:val="21"/>
          <w:lang w:eastAsia="zh-CN"/>
        </w:rPr>
        <w:t>进行</w:t>
      </w:r>
      <w:r>
        <w:rPr>
          <w:rFonts w:hint="eastAsia" w:cs="宋体" w:asciiTheme="minorEastAsia" w:hAnsiTheme="minorEastAsia"/>
          <w:bCs/>
          <w:kern w:val="0"/>
          <w:szCs w:val="21"/>
        </w:rPr>
        <w:t>修订</w:t>
      </w:r>
      <w:r>
        <w:rPr>
          <w:rFonts w:hint="eastAsia" w:cs="宋体" w:asciiTheme="minorEastAsia" w:hAnsiTheme="minorEastAsia"/>
          <w:bCs/>
          <w:kern w:val="0"/>
          <w:szCs w:val="21"/>
          <w:lang w:eastAsia="zh-CN"/>
        </w:rPr>
        <w:t>了，使其更适应企业实际。</w:t>
      </w:r>
      <w:r>
        <w:rPr>
          <w:rFonts w:hint="eastAsia" w:cs="宋体" w:asciiTheme="minorEastAsia" w:hAnsiTheme="minorEastAsia"/>
          <w:bCs/>
          <w:kern w:val="0"/>
          <w:szCs w:val="21"/>
          <w:lang w:val="en-US" w:eastAsia="zh-CN"/>
        </w:rPr>
        <w:t>计量器具完好率96%，配备率99%的计量目标均已实现；对测量器具管理、计量员等岗位人员进行了培训；计量设备管理已日常化，制定的各岗位工作流程，使生产过程中的测量点及检查参数更加明确，</w:t>
      </w:r>
      <w:r>
        <w:rPr>
          <w:rFonts w:hint="eastAsia" w:cs="宋体" w:asciiTheme="minorEastAsia" w:hAnsiTheme="minorEastAsia"/>
          <w:bCs/>
          <w:kern w:val="0"/>
          <w:szCs w:val="21"/>
          <w:lang w:eastAsia="zh-CN"/>
        </w:rPr>
        <w:t>成都市更新家具有限公司保持并完善的</w:t>
      </w:r>
      <w:r>
        <w:rPr>
          <w:rFonts w:hint="eastAsia" w:cs="宋体" w:asciiTheme="minorEastAsia" w:hAnsiTheme="minorEastAsia"/>
          <w:bCs/>
          <w:kern w:val="0"/>
          <w:szCs w:val="21"/>
        </w:rPr>
        <w:t>测量管理体系</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lang w:val="en-US" w:eastAsia="zh-CN"/>
        </w:rPr>
        <w:t>企业生产规模比上年有所扩大，测量管理体系更</w:t>
      </w:r>
      <w:r>
        <w:rPr>
          <w:rFonts w:hint="eastAsia" w:cs="宋体" w:asciiTheme="minorEastAsia" w:hAnsiTheme="minorEastAsia"/>
          <w:bCs/>
          <w:kern w:val="0"/>
          <w:szCs w:val="21"/>
          <w:lang w:eastAsia="zh-CN"/>
        </w:rPr>
        <w:t>适</w:t>
      </w:r>
      <w:r>
        <w:rPr>
          <w:rFonts w:hint="eastAsia" w:cs="宋体" w:asciiTheme="minorEastAsia" w:hAnsiTheme="minorEastAsia"/>
          <w:bCs/>
          <w:kern w:val="0"/>
          <w:szCs w:val="21"/>
        </w:rPr>
        <w:t>合</w:t>
      </w:r>
      <w:r>
        <w:rPr>
          <w:rFonts w:hint="eastAsia" w:cs="宋体" w:asciiTheme="minorEastAsia" w:hAnsiTheme="minorEastAsia"/>
          <w:bCs/>
          <w:kern w:val="0"/>
          <w:szCs w:val="21"/>
          <w:lang w:eastAsia="zh-CN"/>
        </w:rPr>
        <w:t>企业发展，</w:t>
      </w:r>
      <w:r>
        <w:rPr>
          <w:rFonts w:hint="eastAsia" w:cs="宋体" w:asciiTheme="minorEastAsia" w:hAnsiTheme="minorEastAsia"/>
          <w:bCs/>
          <w:kern w:val="0"/>
          <w:szCs w:val="21"/>
          <w:lang w:val="en-US" w:eastAsia="zh-CN"/>
        </w:rPr>
        <w:t>并</w:t>
      </w:r>
      <w:r>
        <w:rPr>
          <w:rFonts w:hint="eastAsia" w:cs="宋体" w:asciiTheme="minorEastAsia" w:hAnsiTheme="minorEastAsia"/>
          <w:bCs/>
          <w:kern w:val="0"/>
          <w:szCs w:val="21"/>
        </w:rPr>
        <w:t>符合</w:t>
      </w:r>
      <w:r>
        <w:rPr>
          <w:rFonts w:hint="eastAsia" w:cs="宋体" w:asciiTheme="minorEastAsia" w:hAnsiTheme="minorEastAsia"/>
          <w:bCs/>
          <w:kern w:val="0"/>
          <w:szCs w:val="21"/>
          <w:lang w:val="en-US" w:eastAsia="zh-CN"/>
        </w:rPr>
        <w:t>GB/T 19022-200</w:t>
      </w:r>
      <w:r>
        <w:rPr>
          <w:rFonts w:hint="eastAsia" w:cs="宋体" w:asciiTheme="minorEastAsia" w:hAnsiTheme="minorEastAsia"/>
          <w:bCs/>
          <w:kern w:val="0"/>
          <w:szCs w:val="21"/>
          <w:lang w:val="en-US" w:eastAsia="zh-CN"/>
        </w:rPr>
        <w:t>3标准要求。</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3.内部审核和管理评审的情况：</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ascii="宋体"/>
          <w:sz w:val="21"/>
          <w:szCs w:val="21"/>
        </w:rPr>
      </w:pPr>
      <w:r>
        <w:rPr>
          <w:rFonts w:ascii="宋体" w:hAnsi="宋体" w:cs="宋体"/>
          <w:bCs/>
          <w:kern w:val="0"/>
          <w:sz w:val="21"/>
          <w:szCs w:val="21"/>
        </w:rPr>
        <w:t>3.1</w:t>
      </w:r>
      <w:r>
        <w:rPr>
          <w:rFonts w:hint="eastAsia" w:ascii="宋体" w:hAnsi="宋体"/>
          <w:sz w:val="21"/>
          <w:szCs w:val="21"/>
        </w:rPr>
        <w:t>公司的测量体系内审：</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为了充分验证该厂测量管理体系运行的符合性、有效性及持续改进，根据该厂2020年度测量管理体系审核工作计划，</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月1</w:t>
      </w:r>
      <w:r>
        <w:rPr>
          <w:rFonts w:hint="eastAsia" w:ascii="宋体" w:hAnsi="宋体"/>
          <w:szCs w:val="21"/>
          <w:lang w:val="en-US" w:eastAsia="zh-CN"/>
        </w:rPr>
        <w:t>3</w:t>
      </w:r>
      <w:r>
        <w:rPr>
          <w:rFonts w:hint="eastAsia" w:ascii="宋体" w:hAnsi="宋体"/>
          <w:color w:val="000000"/>
          <w:szCs w:val="21"/>
        </w:rPr>
        <w:t>日</w:t>
      </w:r>
      <w:r>
        <w:rPr>
          <w:rFonts w:hint="eastAsia" w:ascii="宋体" w:hAnsi="宋体" w:cs="宋体"/>
          <w:bCs/>
          <w:kern w:val="0"/>
          <w:szCs w:val="21"/>
          <w:lang w:val="en-US" w:eastAsia="zh-CN"/>
        </w:rPr>
        <w:t>，按照</w:t>
      </w:r>
      <w:r>
        <w:rPr>
          <w:rFonts w:hint="eastAsia" w:cs="宋体" w:asciiTheme="minorEastAsia" w:hAnsiTheme="minorEastAsia"/>
          <w:bCs/>
          <w:kern w:val="0"/>
          <w:szCs w:val="21"/>
          <w:lang w:val="en-US" w:eastAsia="zh-CN"/>
        </w:rPr>
        <w:t>GB/T19022-2003《测量管理体系 测量过程和测量设备的要求》组织了内部审核，查审核计划、内审检查表，明确了审核要点、审核方法；本次涉及到</w:t>
      </w:r>
      <w:r>
        <w:rPr>
          <w:rFonts w:hint="eastAsia" w:ascii="宋体" w:hAnsi="宋体"/>
          <w:szCs w:val="21"/>
          <w:lang w:eastAsia="zh-CN"/>
        </w:rPr>
        <w:t>成都市更新家具有限公司</w:t>
      </w:r>
      <w:r>
        <w:rPr>
          <w:rFonts w:hint="eastAsia" w:cs="宋体" w:asciiTheme="minorEastAsia" w:hAnsiTheme="minorEastAsia"/>
          <w:bCs/>
          <w:kern w:val="0"/>
          <w:szCs w:val="21"/>
          <w:lang w:val="en-US" w:eastAsia="zh-CN"/>
        </w:rPr>
        <w:t>所有与质量、计量、能源有关的部门、人员、场所、活动。审核共开具次要不符合项 1项,对内审发现的问题，制定了有效的纠正措施。所有不符合项已完成整改。</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3.2、成都市更新家具有限公司的测量体系管理评审：</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2020年11月20日进行了管理评审，总经理宋遵友主持，由公司各部门分别按管理评审输入要求汇报了体系运行实施及完成情况。管代冯小娟总结了测量管理体系的运行情况，并肯定了公司测量管理体系运行的充分性、有效性和适宜性。形成了管理评审报告。</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4.为持续改进而策划的活动的进展，包括：</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asciiTheme="minorEastAsia" w:hAnsiTheme="minorEastAsia"/>
          <w:bCs/>
          <w:szCs w:val="21"/>
        </w:rPr>
      </w:pPr>
      <w:r>
        <w:rPr>
          <w:rFonts w:hint="eastAsia" w:cs="宋体" w:asciiTheme="minorEastAsia" w:hAnsiTheme="minorEastAsia"/>
          <w:kern w:val="0"/>
          <w:szCs w:val="21"/>
        </w:rPr>
        <w:t>4.1</w:t>
      </w:r>
      <w:r>
        <w:rPr>
          <w:rFonts w:cs="宋体" w:asciiTheme="minorEastAsia" w:hAnsiTheme="minorEastAsia"/>
          <w:kern w:val="0"/>
          <w:szCs w:val="21"/>
        </w:rPr>
        <w:t xml:space="preserve"> </w:t>
      </w:r>
      <w:r>
        <w:rPr>
          <w:rFonts w:hint="eastAsia" w:ascii="宋体" w:hAnsi="宋体"/>
          <w:szCs w:val="21"/>
          <w:lang w:eastAsia="zh-CN"/>
        </w:rPr>
        <w:t>成都市更新家具有限公司</w:t>
      </w:r>
      <w:r>
        <w:rPr>
          <w:rFonts w:hint="eastAsia" w:cs="宋体" w:asciiTheme="minorEastAsia" w:hAnsiTheme="minorEastAsia"/>
          <w:kern w:val="0"/>
          <w:szCs w:val="21"/>
        </w:rPr>
        <w:t>领导层重视测量管理体系各项工作，职能部门职能作用发挥较好，建立的测量管理体系，运行正常，并持续符合相关法律、法规的要求；</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cs="宋体" w:asciiTheme="minorEastAsia" w:hAnsiTheme="minorEastAsia"/>
          <w:kern w:val="0"/>
          <w:szCs w:val="21"/>
        </w:rPr>
      </w:pPr>
      <w:r>
        <w:rPr>
          <w:rFonts w:hint="eastAsia" w:cs="宋体" w:asciiTheme="minorEastAsia" w:hAnsiTheme="minorEastAsia"/>
          <w:kern w:val="0"/>
          <w:szCs w:val="21"/>
        </w:rPr>
        <w:t xml:space="preserve">4.2 </w:t>
      </w:r>
      <w:r>
        <w:rPr>
          <w:rFonts w:cs="宋体" w:asciiTheme="minorEastAsia" w:hAnsiTheme="minorEastAsia"/>
          <w:kern w:val="0"/>
          <w:szCs w:val="21"/>
        </w:rPr>
        <w:t xml:space="preserve"> </w:t>
      </w:r>
      <w:r>
        <w:rPr>
          <w:rFonts w:hint="eastAsia" w:cs="宋体" w:asciiTheme="minorEastAsia" w:hAnsiTheme="minorEastAsia"/>
          <w:kern w:val="0"/>
          <w:szCs w:val="21"/>
        </w:rPr>
        <w:t>201</w:t>
      </w: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年质量目标考核细则已确认，并按规定的内容和时间进行考核，年度质量目标完成情况较好；</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kern w:val="0"/>
          <w:szCs w:val="21"/>
        </w:rPr>
        <w:t>4.3</w:t>
      </w:r>
      <w:r>
        <w:rPr>
          <w:rFonts w:cs="宋体" w:asciiTheme="minorEastAsia" w:hAnsiTheme="minorEastAsia"/>
          <w:kern w:val="0"/>
          <w:szCs w:val="21"/>
        </w:rPr>
        <w:t xml:space="preserve"> </w:t>
      </w:r>
      <w:r>
        <w:rPr>
          <w:rFonts w:hint="eastAsia" w:cs="宋体" w:asciiTheme="minorEastAsia" w:hAnsiTheme="minorEastAsia"/>
          <w:bCs/>
          <w:kern w:val="0"/>
          <w:szCs w:val="21"/>
          <w:lang w:val="en-US" w:eastAsia="zh-CN"/>
        </w:rPr>
        <w:t>企业未建立建立计量标准，强制检定计量器具</w:t>
      </w:r>
      <w:r>
        <w:rPr>
          <w:rFonts w:hint="eastAsia" w:ascii="宋体" w:hAnsi="宋体" w:eastAsia="宋体" w:cs="宋体"/>
          <w:bCs/>
          <w:kern w:val="0"/>
          <w:szCs w:val="21"/>
          <w:lang w:val="en-US" w:eastAsia="zh-CN"/>
        </w:rPr>
        <w:t>(2块电能表)</w:t>
      </w:r>
      <w:r>
        <w:rPr>
          <w:rFonts w:hint="eastAsia" w:cs="宋体" w:asciiTheme="minorEastAsia" w:hAnsiTheme="minorEastAsia"/>
          <w:bCs/>
          <w:kern w:val="0"/>
          <w:szCs w:val="21"/>
          <w:lang w:val="en-US" w:eastAsia="zh-CN"/>
        </w:rPr>
        <w:t>溯源率100%，一般工作计量器具溯源率99%。</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4.4</w:t>
      </w:r>
      <w:r>
        <w:rPr>
          <w:rFonts w:hint="eastAsia" w:cs="宋体" w:asciiTheme="minorEastAsia" w:hAnsiTheme="minorEastAsia"/>
          <w:kern w:val="0"/>
          <w:szCs w:val="21"/>
        </w:rPr>
        <w:t>抽查了企业对已识别的关键测量过程：</w:t>
      </w:r>
      <w:r>
        <w:rPr>
          <w:rFonts w:hint="eastAsia" w:ascii="宋体" w:hAnsi="宋体" w:eastAsia="宋体" w:cs="宋体"/>
          <w:kern w:val="0"/>
          <w:szCs w:val="21"/>
        </w:rPr>
        <w:t>《</w:t>
      </w:r>
      <w:r>
        <w:rPr>
          <w:rFonts w:hint="eastAsia"/>
          <w:lang w:eastAsia="zh-CN"/>
        </w:rPr>
        <w:t>板材厚度测量</w:t>
      </w:r>
      <w:r>
        <w:rPr>
          <w:rFonts w:hint="eastAsia" w:ascii="宋体" w:hAnsi="宋体" w:eastAsia="宋体" w:cs="宋体"/>
          <w:lang w:eastAsia="zh-CN"/>
        </w:rPr>
        <w:t>》</w:t>
      </w:r>
      <w:r>
        <w:rPr>
          <w:rFonts w:hint="eastAsia" w:cs="宋体" w:asciiTheme="minorEastAsia" w:hAnsiTheme="minorEastAsia"/>
          <w:bCs/>
          <w:kern w:val="0"/>
          <w:szCs w:val="21"/>
          <w:lang w:val="en-US" w:eastAsia="zh-CN"/>
        </w:rPr>
        <w:t>均能按测量过程控制规范，进行了有效性监视。记录、监视控制图齐全，完整；</w:t>
      </w:r>
      <w:r>
        <w:rPr>
          <w:rFonts w:hint="eastAsia" w:cs="宋体" w:asciiTheme="minorEastAsia" w:hAnsiTheme="minorEastAsia"/>
          <w:kern w:val="0"/>
          <w:szCs w:val="21"/>
        </w:rPr>
        <w:t>抽查了</w:t>
      </w:r>
      <w:r>
        <w:rPr>
          <w:rFonts w:hint="eastAsia" w:ascii="宋体" w:hAnsi="宋体" w:eastAsia="宋体" w:cs="宋体"/>
          <w:kern w:val="0"/>
          <w:szCs w:val="21"/>
        </w:rPr>
        <w:t>《</w:t>
      </w:r>
      <w:r>
        <w:rPr>
          <w:rFonts w:hint="eastAsia"/>
          <w:lang w:eastAsia="zh-CN"/>
        </w:rPr>
        <w:t>板材厚度测量</w:t>
      </w:r>
      <w:r>
        <w:rPr>
          <w:rFonts w:hint="eastAsia" w:ascii="宋体" w:hAnsi="宋体" w:eastAsia="宋体" w:cs="宋体"/>
          <w:lang w:eastAsia="zh-CN"/>
        </w:rPr>
        <w:t>》</w:t>
      </w:r>
      <w:r>
        <w:rPr>
          <w:rFonts w:hint="eastAsia"/>
        </w:rPr>
        <w:t>过程</w:t>
      </w:r>
      <w:r>
        <w:rPr>
          <w:rFonts w:hint="eastAsia" w:cs="宋体" w:asciiTheme="minorEastAsia" w:hAnsiTheme="minorEastAsia"/>
          <w:kern w:val="0"/>
          <w:szCs w:val="21"/>
        </w:rPr>
        <w:t>控制的监</w:t>
      </w:r>
      <w:r>
        <w:rPr>
          <w:rFonts w:hint="eastAsia" w:cs="宋体" w:asciiTheme="minorEastAsia" w:hAnsiTheme="minorEastAsia"/>
          <w:kern w:val="0"/>
          <w:szCs w:val="21"/>
        </w:rPr>
        <w:t>视记录，见附页：测量过程监视统计记录表及监视控制图。</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kern w:val="0"/>
          <w:szCs w:val="21"/>
        </w:rPr>
      </w:pP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对认证审核时提出的的不符合项的纠正措施情况有表述：</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kern w:val="0"/>
          <w:szCs w:val="21"/>
        </w:rPr>
      </w:pPr>
      <w:r>
        <w:rPr>
          <w:rFonts w:hint="eastAsia" w:cs="宋体" w:asciiTheme="minorEastAsia" w:hAnsiTheme="minorEastAsia"/>
          <w:kern w:val="0"/>
          <w:szCs w:val="21"/>
        </w:rPr>
        <w:t>公司已针对上一年度开具的不符合项已采取有效措施，已关闭。</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kern w:val="0"/>
          <w:szCs w:val="21"/>
        </w:rPr>
      </w:pPr>
      <w:r>
        <w:rPr>
          <w:rFonts w:hint="eastAsia" w:cs="宋体" w:asciiTheme="minorEastAsia" w:hAnsiTheme="minorEastAsia"/>
          <w:kern w:val="0"/>
          <w:szCs w:val="21"/>
        </w:rPr>
        <w:t>6.对投诉的处理情况：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asciiTheme="minorEastAsia" w:hAnsiTheme="minorEastAsia"/>
          <w:bCs/>
          <w:szCs w:val="21"/>
        </w:rPr>
      </w:pPr>
      <w:r>
        <w:rPr>
          <w:rFonts w:hint="eastAsia" w:asciiTheme="minorEastAsia" w:hAnsiTheme="minorEastAsia"/>
          <w:bCs/>
          <w:szCs w:val="21"/>
        </w:rPr>
        <w:t>公司目前尚未接到客户在产品质量、物料交接、能源、安全、现场管理等方面的投诉和纠纷。</w:t>
      </w:r>
    </w:p>
    <w:p>
      <w:pPr>
        <w:widowControl/>
        <w:numPr>
          <w:ilvl w:val="0"/>
          <w:numId w:val="1"/>
        </w:numPr>
        <w:spacing w:line="276" w:lineRule="auto"/>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cs="宋体" w:asciiTheme="minorEastAsia" w:hAnsiTheme="minorEastAsia"/>
          <w:bCs/>
          <w:kern w:val="0"/>
          <w:szCs w:val="21"/>
        </w:rPr>
      </w:pPr>
      <w:r>
        <w:rPr>
          <w:rFonts w:hint="eastAsia" w:asciiTheme="minorEastAsia" w:hAnsiTheme="minorEastAsia"/>
          <w:bCs/>
          <w:szCs w:val="21"/>
          <w:lang w:val="en-US" w:eastAsia="zh-CN"/>
        </w:rPr>
        <w:t>按</w:t>
      </w:r>
      <w:r>
        <w:rPr>
          <w:rFonts w:hint="eastAsia" w:asciiTheme="minorEastAsia" w:hAnsiTheme="minorEastAsia"/>
          <w:bCs/>
          <w:szCs w:val="21"/>
        </w:rPr>
        <w:t>《目标管理程序》</w:t>
      </w:r>
      <w:r>
        <w:rPr>
          <w:rFonts w:hint="eastAsia" w:asciiTheme="minorEastAsia" w:hAnsiTheme="minorEastAsia"/>
          <w:bCs/>
          <w:szCs w:val="21"/>
          <w:lang w:val="en-US" w:eastAsia="zh-CN"/>
        </w:rPr>
        <w:t>的要求</w:t>
      </w:r>
      <w:r>
        <w:rPr>
          <w:rFonts w:hint="eastAsia" w:asciiTheme="minorEastAsia" w:hAnsiTheme="minorEastAsia"/>
          <w:bCs/>
          <w:szCs w:val="21"/>
        </w:rPr>
        <w:t>，公司规定了计量方针及</w:t>
      </w:r>
      <w:r>
        <w:rPr>
          <w:rFonts w:hint="eastAsia" w:asciiTheme="minorEastAsia" w:hAnsiTheme="minorEastAsia"/>
          <w:bCs/>
          <w:szCs w:val="21"/>
          <w:lang w:val="en-US" w:eastAsia="zh-CN"/>
        </w:rPr>
        <w:t>6</w:t>
      </w:r>
      <w:r>
        <w:rPr>
          <w:rFonts w:hint="eastAsia" w:asciiTheme="minorEastAsia" w:hAnsiTheme="minorEastAsia"/>
          <w:bCs/>
          <w:szCs w:val="21"/>
        </w:rPr>
        <w:t>项质量目标 ，是管理体系追求的承诺和准则，内容基本覆盖标准要素。公司将质量目标考核细则已纳入</w:t>
      </w:r>
      <w:r>
        <w:rPr>
          <w:rFonts w:hint="eastAsia" w:asciiTheme="minorEastAsia" w:hAnsiTheme="minorEastAsia"/>
          <w:bCs/>
          <w:szCs w:val="21"/>
          <w:lang w:eastAsia="zh-CN"/>
        </w:rPr>
        <w:t>基层</w:t>
      </w:r>
      <w:r>
        <w:rPr>
          <w:rFonts w:hint="eastAsia" w:asciiTheme="minorEastAsia" w:hAnsiTheme="minorEastAsia"/>
          <w:bCs/>
          <w:szCs w:val="21"/>
        </w:rPr>
        <w:t>绩效考核表，进一步体现了实现顾客、质量、服务等方面的要求，符合GB/T 19022-2003标准要求，适应性、有效性及对持续运作的控制。</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8.</w:t>
      </w:r>
      <w:r>
        <w:rPr>
          <w:rFonts w:hint="eastAsia" w:cs="宋体" w:asciiTheme="minorEastAsia" w:hAnsiTheme="minorEastAsia"/>
          <w:bCs/>
          <w:kern w:val="0"/>
          <w:szCs w:val="21"/>
        </w:rPr>
        <w:t>对企业组织任何变更的审核</w:t>
      </w:r>
    </w:p>
    <w:p>
      <w:pPr>
        <w:keepNext w:val="0"/>
        <w:keepLines w:val="0"/>
        <w:pageBreakBefore w:val="0"/>
        <w:widowControl/>
        <w:kinsoku/>
        <w:wordWrap/>
        <w:overflowPunct/>
        <w:topLinePunct w:val="0"/>
        <w:autoSpaceDE/>
        <w:autoSpaceDN/>
        <w:bidi w:val="0"/>
        <w:adjustRightInd w:val="0"/>
        <w:snapToGrid w:val="0"/>
        <w:spacing w:line="480" w:lineRule="exact"/>
        <w:ind w:firstLine="210" w:firstLineChars="100"/>
        <w:textAlignment w:val="auto"/>
        <w:outlineLvl w:val="9"/>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标志的使用和（或）任何其他对认证资格引用</w:t>
      </w:r>
      <w:r>
        <w:rPr>
          <w:rFonts w:cs="宋体" w:asciiTheme="minorEastAsia" w:hAnsiTheme="minorEastAsia"/>
          <w:bCs/>
          <w:kern w:val="0"/>
          <w:szCs w:val="21"/>
        </w:rPr>
        <w:t>的情况：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1</w:t>
      </w:r>
      <w:r>
        <w:rPr>
          <w:rFonts w:hint="eastAsia" w:ascii="宋体" w:hAnsi="宋体" w:eastAsia="宋体" w:cs="宋体"/>
          <w:kern w:val="0"/>
          <w:szCs w:val="21"/>
        </w:rPr>
        <w:t xml:space="preserve"> 本次监督审核</w:t>
      </w:r>
      <w:r>
        <w:rPr>
          <w:rFonts w:hint="eastAsia" w:ascii="宋体" w:hAnsi="宋体" w:eastAsia="宋体" w:cs="宋体"/>
          <w:kern w:val="0"/>
          <w:szCs w:val="21"/>
          <w:lang w:val="en-US" w:eastAsia="zh-CN"/>
        </w:rPr>
        <w:t>发现</w:t>
      </w:r>
      <w:r>
        <w:rPr>
          <w:rFonts w:hint="eastAsia" w:ascii="宋体" w:hAnsi="宋体" w:eastAsia="宋体" w:cs="宋体"/>
          <w:kern w:val="0"/>
          <w:szCs w:val="21"/>
        </w:rPr>
        <w:t>不符合项</w:t>
      </w:r>
      <w:r>
        <w:rPr>
          <w:rFonts w:hint="eastAsia" w:ascii="宋体" w:hAnsi="宋体" w:eastAsia="宋体" w:cs="宋体"/>
          <w:kern w:val="0"/>
          <w:szCs w:val="21"/>
          <w:lang w:val="en-US" w:eastAsia="zh-CN"/>
        </w:rPr>
        <w:t>1项</w:t>
      </w:r>
      <w:r>
        <w:rPr>
          <w:rFonts w:hint="eastAsia" w:ascii="宋体" w:hAnsi="宋体" w:eastAsia="宋体" w:cs="宋体"/>
          <w:kern w:val="0"/>
          <w:szCs w:val="21"/>
        </w:rPr>
        <w:t>，未发现严重的或系统性的不符合情况：</w:t>
      </w:r>
    </w:p>
    <w:p>
      <w:pPr>
        <w:widowControl/>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11.1检查质管部</w:t>
      </w:r>
      <w:r>
        <w:rPr>
          <w:rFonts w:hint="eastAsia" w:ascii="宋体" w:hAnsi="宋体" w:eastAsia="宋体" w:cs="宋体"/>
          <w:szCs w:val="21"/>
          <w:lang w:eastAsia="zh-CN"/>
        </w:rPr>
        <w:t>，</w:t>
      </w:r>
      <w:r>
        <w:rPr>
          <w:rFonts w:hint="eastAsia" w:ascii="宋体" w:hAnsi="宋体" w:eastAsia="宋体" w:cs="宋体"/>
          <w:szCs w:val="21"/>
          <w:lang w:val="en-US" w:eastAsia="zh-CN"/>
        </w:rPr>
        <w:t>编号CHG-001 （0～10）mm/0.01mm 测厚仪经</w:t>
      </w:r>
      <w:r>
        <w:rPr>
          <w:rFonts w:hint="eastAsia" w:ascii="宋体" w:hAnsi="宋体" w:cs="宋体"/>
          <w:szCs w:val="21"/>
          <w:lang w:val="en-US" w:eastAsia="zh-CN"/>
        </w:rPr>
        <w:t>，</w:t>
      </w:r>
      <w:r>
        <w:rPr>
          <w:rFonts w:hint="eastAsia" w:ascii="宋体" w:hAnsi="宋体" w:eastAsia="宋体" w:cs="宋体"/>
          <w:szCs w:val="21"/>
          <w:lang w:val="en-US" w:eastAsia="zh-CN"/>
        </w:rPr>
        <w:t>2020.10.13校准，未对其进行计量确认</w:t>
      </w:r>
      <w:r>
        <w:rPr>
          <w:rFonts w:hint="eastAsia" w:ascii="宋体" w:hAnsi="宋体" w:eastAsia="宋体" w:cs="宋体"/>
          <w:kern w:val="0"/>
          <w:szCs w:val="21"/>
          <w:lang w:val="en-US" w:eastAsia="zh-CN"/>
        </w:rPr>
        <w:t>。不符合</w:t>
      </w:r>
      <w:r>
        <w:rPr>
          <w:rFonts w:hint="eastAsia" w:asciiTheme="minorEastAsia" w:hAnsiTheme="minorEastAsia"/>
          <w:bCs/>
          <w:szCs w:val="21"/>
        </w:rPr>
        <w:t>GB/T 19022-2003标准</w:t>
      </w:r>
      <w:r>
        <w:rPr>
          <w:rFonts w:hint="eastAsia" w:asciiTheme="minorEastAsia" w:hAnsiTheme="minorEastAsia"/>
          <w:bCs/>
          <w:szCs w:val="21"/>
          <w:lang w:val="en-US" w:eastAsia="zh-CN"/>
        </w:rPr>
        <w:t>7.1.1条款的要求。</w:t>
      </w:r>
    </w:p>
    <w:p>
      <w:pPr>
        <w:widowControl/>
        <w:spacing w:line="276" w:lineRule="auto"/>
        <w:rPr>
          <w:rFonts w:ascii="宋体" w:hAnsi="宋体" w:eastAsia="宋体" w:cs="宋体"/>
          <w:b/>
          <w:bCs/>
          <w:kern w:val="0"/>
          <w:szCs w:val="28"/>
        </w:rPr>
      </w:pPr>
      <w:r>
        <w:rPr>
          <w:rFonts w:hint="eastAsia" w:ascii="宋体" w:hAnsi="宋体" w:eastAsia="宋体" w:cs="宋体"/>
          <w:b/>
          <w:bCs/>
          <w:kern w:val="0"/>
          <w:szCs w:val="21"/>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color w:val="000000" w:themeColor="text1"/>
          <w:sz w:val="2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20</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11</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3-4</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lang w:val="en-US" w:eastAsia="zh-CN"/>
        </w:rPr>
        <w:t>一天半的时间</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hint="eastAsia" w:ascii="宋体" w:hAnsi="宋体" w:eastAsia="宋体"/>
          <w:szCs w:val="21"/>
          <w:lang w:eastAsia="zh-CN"/>
        </w:rPr>
        <w:t>成都市更新家具有限公司</w:t>
      </w:r>
      <w:r>
        <w:rPr>
          <w:rStyle w:val="10"/>
          <w:rFonts w:ascii="宋体" w:hAnsi="宋体" w:eastAsia="宋体"/>
          <w:color w:val="000000" w:themeColor="text1"/>
          <w:sz w:val="21"/>
          <w:szCs w:val="21"/>
        </w:rPr>
        <w:t>测量管理</w:t>
      </w:r>
      <w:r>
        <w:rPr>
          <w:rStyle w:val="10"/>
          <w:rFonts w:hint="eastAsia" w:ascii="宋体" w:hAnsi="宋体" w:eastAsia="宋体"/>
          <w:color w:val="000000" w:themeColor="text1"/>
          <w:sz w:val="21"/>
          <w:szCs w:val="21"/>
          <w:lang w:eastAsia="zh-CN"/>
        </w:rPr>
        <w:t>体系</w:t>
      </w:r>
      <w:r>
        <w:rPr>
          <w:rStyle w:val="10"/>
          <w:rFonts w:ascii="宋体" w:hAnsi="宋体" w:eastAsia="宋体"/>
          <w:color w:val="000000" w:themeColor="text1"/>
          <w:sz w:val="21"/>
          <w:szCs w:val="21"/>
        </w:rPr>
        <w:t>现场</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 w:val="21"/>
          <w:szCs w:val="21"/>
        </w:rPr>
        <w:t>.验证了</w:t>
      </w:r>
      <w:r>
        <w:rPr>
          <w:rFonts w:hint="eastAsia" w:asciiTheme="minorEastAsia" w:hAnsiTheme="minorEastAsia"/>
          <w:bCs/>
          <w:color w:val="000000" w:themeColor="text1"/>
          <w:sz w:val="21"/>
          <w:szCs w:val="21"/>
          <w:lang w:val="en-US" w:eastAsia="zh-CN"/>
        </w:rPr>
        <w:t>该</w:t>
      </w:r>
      <w:r>
        <w:rPr>
          <w:rFonts w:hint="eastAsia" w:asciiTheme="minorEastAsia" w:hAnsiTheme="minorEastAsia"/>
          <w:bCs/>
          <w:color w:val="000000" w:themeColor="text1"/>
          <w:sz w:val="21"/>
          <w:szCs w:val="21"/>
        </w:rPr>
        <w:t>公司在测量管理体系实现认证后，</w:t>
      </w:r>
      <w:r>
        <w:rPr>
          <w:rFonts w:hint="eastAsia" w:ascii="宋体" w:hAnsi="宋体"/>
          <w:color w:val="000000" w:themeColor="text1"/>
          <w:sz w:val="21"/>
          <w:szCs w:val="21"/>
        </w:rPr>
        <w:t>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Pr>
          <w:rFonts w:hint="eastAsia" w:ascii="宋体" w:hAnsi="宋体" w:eastAsia="宋体"/>
          <w:szCs w:val="21"/>
          <w:lang w:eastAsia="zh-CN"/>
        </w:rPr>
        <w:t>成都市更新家具有限公司</w:t>
      </w:r>
      <w:r>
        <w:rPr>
          <w:rFonts w:hint="eastAsia" w:ascii="宋体" w:hAnsi="宋体"/>
          <w:color w:val="000000" w:themeColor="text1"/>
          <w:sz w:val="21"/>
          <w:szCs w:val="21"/>
        </w:rPr>
        <w:t>测量管理体系，符合GB/T 19022-2003标准要求，对体系运行具有持续的有效性、符合性予以肯定。建议报请国标联合认证有限公司批准通过监督审核。</w:t>
      </w:r>
    </w:p>
    <w:p>
      <w:pPr>
        <w:widowControl/>
        <w:spacing w:line="600" w:lineRule="auto"/>
        <w:ind w:right="945"/>
        <w:jc w:val="center"/>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p>
    <w:p>
      <w:pPr>
        <w:widowControl/>
        <w:spacing w:line="600"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600" w:lineRule="auto"/>
        <w:ind w:firstLine="3118" w:firstLineChars="1485"/>
        <w:jc w:val="left"/>
        <w:rPr>
          <w:rFonts w:hint="eastAsia" w:ascii="宋体" w:hAnsi="宋体" w:eastAsia="宋体" w:cs="宋体"/>
          <w:b/>
          <w:bCs/>
          <w:kern w:val="0"/>
          <w:szCs w:val="21"/>
          <w:lang w:eastAsia="zh-CN"/>
        </w:rPr>
      </w:pPr>
      <w:r>
        <w:rPr>
          <w:rFonts w:hint="eastAsia" w:ascii="宋体" w:hAnsi="宋体" w:eastAsia="宋体" w:cs="宋体"/>
          <w:kern w:val="0"/>
          <w:szCs w:val="28"/>
        </w:rPr>
        <w:t>审查人员（签字）：             日期：</w:t>
      </w:r>
    </w:p>
    <w:p>
      <w:pPr>
        <w:widowControl/>
        <w:spacing w:line="600" w:lineRule="auto"/>
        <w:ind w:right="1050"/>
        <w:rPr>
          <w:rFonts w:hint="eastAsia" w:ascii="宋体" w:hAnsi="宋体" w:eastAsia="宋体" w:cs="宋体"/>
          <w:b/>
          <w:bCs/>
          <w:kern w:val="0"/>
          <w:szCs w:val="21"/>
        </w:rPr>
      </w:pPr>
    </w:p>
    <w:p>
      <w:pPr>
        <w:widowControl/>
        <w:spacing w:line="600" w:lineRule="auto"/>
        <w:ind w:right="1050"/>
        <w:rPr>
          <w:rFonts w:ascii="宋体" w:hAnsi="宋体" w:eastAsia="宋体" w:cs="宋体"/>
          <w:kern w:val="0"/>
          <w:szCs w:val="28"/>
        </w:rPr>
      </w:pPr>
      <w:bookmarkStart w:id="5" w:name="_GoBack"/>
      <w:bookmarkEnd w:id="5"/>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6B3F0"/>
    <w:multiLevelType w:val="singleLevel"/>
    <w:tmpl w:val="7CF6B3F0"/>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59740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2</TotalTime>
  <ScaleCrop>false</ScaleCrop>
  <LinksUpToDate>false</LinksUpToDate>
  <CharactersWithSpaces>540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2020-11-03T06:34:33Z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