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b/>
          <w:lang w:val="en-US" w:eastAsia="zh-CN"/>
        </w:rPr>
      </w:pPr>
      <w:r>
        <w:rPr>
          <w:rFonts w:hint="eastAsia"/>
          <w:b/>
          <w:lang w:val="en-US" w:eastAsia="zh-CN"/>
        </w:rPr>
        <w:t xml:space="preserve">                                            </w:t>
      </w:r>
    </w:p>
    <w:p>
      <w:pPr>
        <w:snapToGrid w:val="0"/>
        <w:spacing w:line="480" w:lineRule="auto"/>
        <w:ind w:firstLine="5783" w:firstLineChars="2400"/>
        <w:rPr>
          <w:rFonts w:hint="default" w:eastAsia="宋体"/>
          <w:b/>
          <w:lang w:val="en-US" w:eastAsia="zh-CN"/>
        </w:rPr>
      </w:pPr>
      <w:r>
        <w:rPr>
          <w:rFonts w:hint="eastAsia"/>
          <w:b/>
          <w:lang w:val="en-US" w:eastAsia="zh-CN"/>
        </w:rPr>
        <w:t xml:space="preserve"> </w:t>
      </w:r>
      <w:r>
        <w:rPr>
          <w:rFonts w:hint="eastAsia" w:ascii="宋体" w:hAnsi="宋体"/>
          <w:b/>
          <w:bCs/>
          <w:kern w:val="0"/>
          <w:szCs w:val="21"/>
        </w:rPr>
        <w:t>合同号: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0600-2019-QEO-2020</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themeColor="text1"/>
          <w:sz w:val="32"/>
          <w:szCs w:val="32"/>
          <w:u w:val="single"/>
        </w:rPr>
        <w:t>甘肃省山丹福利水泥厂</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945"/>
        <w:gridCol w:w="1400"/>
        <w:gridCol w:w="2840"/>
        <w:gridCol w:w="34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45" w:type="dxa"/>
            <w:vAlign w:val="center"/>
          </w:tcPr>
          <w:p>
            <w:pPr>
              <w:jc w:val="center"/>
              <w:rPr>
                <w:b/>
                <w:sz w:val="21"/>
                <w:szCs w:val="21"/>
              </w:rPr>
            </w:pPr>
            <w:r>
              <w:rPr>
                <w:rFonts w:hint="eastAsia"/>
                <w:b/>
                <w:sz w:val="21"/>
                <w:szCs w:val="21"/>
              </w:rPr>
              <w:t>职务</w:t>
            </w:r>
          </w:p>
        </w:tc>
        <w:tc>
          <w:tcPr>
            <w:tcW w:w="1400" w:type="dxa"/>
            <w:vAlign w:val="center"/>
          </w:tcPr>
          <w:p>
            <w:pPr>
              <w:jc w:val="center"/>
              <w:rPr>
                <w:b/>
                <w:sz w:val="21"/>
                <w:szCs w:val="21"/>
              </w:rPr>
            </w:pPr>
            <w:r>
              <w:rPr>
                <w:rFonts w:hint="eastAsia"/>
                <w:b/>
                <w:sz w:val="21"/>
                <w:szCs w:val="21"/>
              </w:rPr>
              <w:t>注册级别</w:t>
            </w:r>
          </w:p>
        </w:tc>
        <w:tc>
          <w:tcPr>
            <w:tcW w:w="2840" w:type="dxa"/>
            <w:vAlign w:val="center"/>
          </w:tcPr>
          <w:p>
            <w:pPr>
              <w:jc w:val="center"/>
              <w:rPr>
                <w:b/>
                <w:sz w:val="21"/>
                <w:szCs w:val="21"/>
              </w:rPr>
            </w:pPr>
            <w:r>
              <w:rPr>
                <w:rFonts w:hint="eastAsia"/>
                <w:b/>
                <w:sz w:val="21"/>
                <w:szCs w:val="21"/>
              </w:rPr>
              <w:t>审核员注册号</w:t>
            </w:r>
          </w:p>
        </w:tc>
        <w:tc>
          <w:tcPr>
            <w:tcW w:w="119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val="0"/>
                <w:bCs/>
                <w:sz w:val="21"/>
                <w:szCs w:val="21"/>
              </w:rPr>
            </w:pPr>
            <w:r>
              <w:rPr>
                <w:b w:val="0"/>
                <w:bCs/>
                <w:sz w:val="21"/>
                <w:szCs w:val="21"/>
              </w:rPr>
              <w:t>周涛</w:t>
            </w:r>
          </w:p>
        </w:tc>
        <w:tc>
          <w:tcPr>
            <w:tcW w:w="824" w:type="dxa"/>
            <w:gridSpan w:val="2"/>
            <w:vAlign w:val="center"/>
          </w:tcPr>
          <w:p>
            <w:pPr>
              <w:jc w:val="center"/>
              <w:rPr>
                <w:b w:val="0"/>
                <w:bCs/>
                <w:sz w:val="21"/>
                <w:szCs w:val="21"/>
              </w:rPr>
            </w:pPr>
            <w:r>
              <w:rPr>
                <w:b w:val="0"/>
                <w:bCs/>
                <w:sz w:val="21"/>
                <w:szCs w:val="21"/>
              </w:rPr>
              <w:t>男</w:t>
            </w:r>
          </w:p>
        </w:tc>
        <w:tc>
          <w:tcPr>
            <w:tcW w:w="945" w:type="dxa"/>
            <w:vAlign w:val="center"/>
          </w:tcPr>
          <w:p>
            <w:pPr>
              <w:jc w:val="center"/>
              <w:rPr>
                <w:b w:val="0"/>
                <w:bCs/>
                <w:sz w:val="21"/>
                <w:szCs w:val="21"/>
              </w:rPr>
            </w:pPr>
            <w:r>
              <w:rPr>
                <w:b w:val="0"/>
                <w:bCs/>
                <w:sz w:val="21"/>
                <w:szCs w:val="21"/>
              </w:rPr>
              <w:t>组长</w:t>
            </w:r>
          </w:p>
        </w:tc>
        <w:tc>
          <w:tcPr>
            <w:tcW w:w="1400" w:type="dxa"/>
            <w:vAlign w:val="center"/>
          </w:tcPr>
          <w:p>
            <w:pPr>
              <w:jc w:val="center"/>
              <w:rPr>
                <w:b w:val="0"/>
                <w:bCs/>
                <w:sz w:val="21"/>
                <w:szCs w:val="21"/>
              </w:rPr>
            </w:pPr>
            <w:r>
              <w:rPr>
                <w:b w:val="0"/>
                <w:bCs/>
                <w:sz w:val="21"/>
                <w:szCs w:val="21"/>
              </w:rPr>
              <w:t>Q:审核员</w:t>
            </w:r>
          </w:p>
          <w:p>
            <w:pPr>
              <w:jc w:val="center"/>
              <w:rPr>
                <w:b w:val="0"/>
                <w:bCs/>
                <w:sz w:val="21"/>
                <w:szCs w:val="21"/>
              </w:rPr>
            </w:pPr>
            <w:r>
              <w:rPr>
                <w:b w:val="0"/>
                <w:bCs/>
                <w:sz w:val="21"/>
                <w:szCs w:val="21"/>
              </w:rPr>
              <w:t>E:审核员</w:t>
            </w:r>
          </w:p>
          <w:p>
            <w:pPr>
              <w:jc w:val="center"/>
              <w:rPr>
                <w:b w:val="0"/>
                <w:bCs/>
                <w:sz w:val="21"/>
                <w:szCs w:val="21"/>
              </w:rPr>
            </w:pPr>
            <w:r>
              <w:rPr>
                <w:b w:val="0"/>
                <w:bCs/>
                <w:sz w:val="21"/>
                <w:szCs w:val="21"/>
              </w:rPr>
              <w:t>O:审核员</w:t>
            </w:r>
          </w:p>
        </w:tc>
        <w:tc>
          <w:tcPr>
            <w:tcW w:w="2840" w:type="dxa"/>
            <w:vAlign w:val="center"/>
          </w:tcPr>
          <w:p>
            <w:pPr>
              <w:jc w:val="center"/>
              <w:rPr>
                <w:b w:val="0"/>
                <w:bCs/>
                <w:sz w:val="21"/>
                <w:szCs w:val="21"/>
              </w:rPr>
            </w:pPr>
            <w:r>
              <w:rPr>
                <w:b w:val="0"/>
                <w:bCs/>
                <w:sz w:val="21"/>
                <w:szCs w:val="21"/>
              </w:rPr>
              <w:t>2019-N1QMS-3072033</w:t>
            </w:r>
          </w:p>
          <w:p>
            <w:pPr>
              <w:jc w:val="center"/>
              <w:rPr>
                <w:b w:val="0"/>
                <w:bCs/>
                <w:sz w:val="21"/>
                <w:szCs w:val="21"/>
              </w:rPr>
            </w:pPr>
            <w:r>
              <w:rPr>
                <w:b w:val="0"/>
                <w:bCs/>
                <w:sz w:val="21"/>
                <w:szCs w:val="21"/>
              </w:rPr>
              <w:t>2018-N1EMS-2072033</w:t>
            </w:r>
          </w:p>
          <w:p>
            <w:pPr>
              <w:jc w:val="center"/>
              <w:rPr>
                <w:b w:val="0"/>
                <w:bCs/>
                <w:sz w:val="21"/>
                <w:szCs w:val="21"/>
              </w:rPr>
            </w:pPr>
            <w:r>
              <w:rPr>
                <w:b w:val="0"/>
                <w:bCs/>
                <w:sz w:val="21"/>
                <w:szCs w:val="21"/>
              </w:rPr>
              <w:t>2018-N1OHSMS-2072033</w:t>
            </w:r>
          </w:p>
        </w:tc>
        <w:tc>
          <w:tcPr>
            <w:tcW w:w="1193" w:type="dxa"/>
            <w:gridSpan w:val="2"/>
            <w:vAlign w:val="center"/>
          </w:tcPr>
          <w:p>
            <w:pPr>
              <w:jc w:val="center"/>
              <w:rPr>
                <w:b w:val="0"/>
                <w:bCs/>
                <w:sz w:val="21"/>
                <w:szCs w:val="21"/>
              </w:rPr>
            </w:pPr>
          </w:p>
        </w:tc>
        <w:tc>
          <w:tcPr>
            <w:tcW w:w="1614" w:type="dxa"/>
            <w:vAlign w:val="center"/>
          </w:tcPr>
          <w:p>
            <w:pPr>
              <w:jc w:val="center"/>
              <w:rPr>
                <w:b w:val="0"/>
                <w:bCs/>
                <w:sz w:val="21"/>
                <w:szCs w:val="21"/>
              </w:rPr>
            </w:pPr>
            <w:r>
              <w:rPr>
                <w:b w:val="0"/>
                <w:bCs/>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018" w:type="dxa"/>
            <w:vAlign w:val="center"/>
          </w:tcPr>
          <w:p>
            <w:pPr>
              <w:jc w:val="center"/>
              <w:rPr>
                <w:b w:val="0"/>
                <w:bCs/>
                <w:sz w:val="21"/>
                <w:szCs w:val="21"/>
              </w:rPr>
            </w:pPr>
            <w:r>
              <w:rPr>
                <w:b w:val="0"/>
                <w:bCs/>
                <w:sz w:val="21"/>
                <w:szCs w:val="21"/>
              </w:rPr>
              <w:t>安涛</w:t>
            </w:r>
          </w:p>
        </w:tc>
        <w:tc>
          <w:tcPr>
            <w:tcW w:w="824" w:type="dxa"/>
            <w:gridSpan w:val="2"/>
            <w:vAlign w:val="center"/>
          </w:tcPr>
          <w:p>
            <w:pPr>
              <w:jc w:val="center"/>
              <w:rPr>
                <w:b w:val="0"/>
                <w:bCs/>
                <w:sz w:val="21"/>
                <w:szCs w:val="21"/>
              </w:rPr>
            </w:pPr>
            <w:r>
              <w:rPr>
                <w:b w:val="0"/>
                <w:bCs/>
                <w:sz w:val="21"/>
                <w:szCs w:val="21"/>
              </w:rPr>
              <w:t>男</w:t>
            </w:r>
          </w:p>
        </w:tc>
        <w:tc>
          <w:tcPr>
            <w:tcW w:w="945" w:type="dxa"/>
            <w:vAlign w:val="center"/>
          </w:tcPr>
          <w:p>
            <w:pPr>
              <w:jc w:val="center"/>
              <w:rPr>
                <w:b w:val="0"/>
                <w:bCs/>
                <w:sz w:val="21"/>
                <w:szCs w:val="21"/>
              </w:rPr>
            </w:pPr>
            <w:r>
              <w:rPr>
                <w:b w:val="0"/>
                <w:bCs/>
                <w:sz w:val="21"/>
                <w:szCs w:val="21"/>
              </w:rPr>
              <w:t>组员</w:t>
            </w:r>
          </w:p>
        </w:tc>
        <w:tc>
          <w:tcPr>
            <w:tcW w:w="1400" w:type="dxa"/>
            <w:vAlign w:val="center"/>
          </w:tcPr>
          <w:p>
            <w:pPr>
              <w:jc w:val="center"/>
              <w:rPr>
                <w:b w:val="0"/>
                <w:bCs/>
                <w:sz w:val="21"/>
                <w:szCs w:val="21"/>
              </w:rPr>
            </w:pPr>
            <w:r>
              <w:rPr>
                <w:b w:val="0"/>
                <w:bCs/>
                <w:sz w:val="21"/>
                <w:szCs w:val="21"/>
              </w:rPr>
              <w:t>Q:审核员</w:t>
            </w:r>
          </w:p>
          <w:p>
            <w:pPr>
              <w:jc w:val="center"/>
              <w:rPr>
                <w:b w:val="0"/>
                <w:bCs/>
                <w:sz w:val="21"/>
                <w:szCs w:val="21"/>
              </w:rPr>
            </w:pPr>
            <w:r>
              <w:rPr>
                <w:b w:val="0"/>
                <w:bCs/>
                <w:sz w:val="21"/>
                <w:szCs w:val="21"/>
              </w:rPr>
              <w:t>E:专家</w:t>
            </w:r>
          </w:p>
          <w:p>
            <w:pPr>
              <w:jc w:val="center"/>
              <w:rPr>
                <w:b w:val="0"/>
                <w:bCs/>
                <w:sz w:val="21"/>
                <w:szCs w:val="21"/>
              </w:rPr>
            </w:pPr>
            <w:r>
              <w:rPr>
                <w:b w:val="0"/>
                <w:bCs/>
                <w:sz w:val="21"/>
                <w:szCs w:val="21"/>
              </w:rPr>
              <w:t>O:专家</w:t>
            </w:r>
          </w:p>
        </w:tc>
        <w:tc>
          <w:tcPr>
            <w:tcW w:w="2840" w:type="dxa"/>
            <w:vAlign w:val="center"/>
          </w:tcPr>
          <w:p>
            <w:pPr>
              <w:jc w:val="center"/>
              <w:rPr>
                <w:b w:val="0"/>
                <w:bCs/>
                <w:sz w:val="21"/>
                <w:szCs w:val="21"/>
              </w:rPr>
            </w:pPr>
            <w:r>
              <w:rPr>
                <w:b w:val="0"/>
                <w:bCs/>
                <w:sz w:val="21"/>
                <w:szCs w:val="21"/>
              </w:rPr>
              <w:t>2017-N1QMS-1211720</w:t>
            </w:r>
          </w:p>
          <w:p>
            <w:pPr>
              <w:jc w:val="center"/>
              <w:rPr>
                <w:b w:val="0"/>
                <w:bCs/>
                <w:sz w:val="21"/>
                <w:szCs w:val="21"/>
              </w:rPr>
            </w:pPr>
            <w:r>
              <w:rPr>
                <w:b w:val="0"/>
                <w:bCs/>
                <w:sz w:val="21"/>
                <w:szCs w:val="21"/>
              </w:rPr>
              <w:t>甘肃卓远品牌咨询管理有限公司</w:t>
            </w:r>
          </w:p>
        </w:tc>
        <w:tc>
          <w:tcPr>
            <w:tcW w:w="1193" w:type="dxa"/>
            <w:gridSpan w:val="2"/>
            <w:vAlign w:val="center"/>
          </w:tcPr>
          <w:p>
            <w:pPr>
              <w:jc w:val="center"/>
              <w:rPr>
                <w:b w:val="0"/>
                <w:bCs/>
                <w:sz w:val="21"/>
                <w:szCs w:val="21"/>
              </w:rPr>
            </w:pPr>
            <w:r>
              <w:rPr>
                <w:b w:val="0"/>
                <w:bCs/>
                <w:sz w:val="21"/>
                <w:szCs w:val="21"/>
              </w:rPr>
              <w:t>Q:16.01.01</w:t>
            </w:r>
          </w:p>
          <w:p>
            <w:pPr>
              <w:jc w:val="center"/>
              <w:rPr>
                <w:b w:val="0"/>
                <w:bCs/>
                <w:sz w:val="21"/>
                <w:szCs w:val="21"/>
              </w:rPr>
            </w:pPr>
            <w:r>
              <w:rPr>
                <w:b w:val="0"/>
                <w:bCs/>
                <w:sz w:val="21"/>
                <w:szCs w:val="21"/>
              </w:rPr>
              <w:t>E:16.01.01</w:t>
            </w:r>
          </w:p>
          <w:p>
            <w:pPr>
              <w:jc w:val="center"/>
              <w:rPr>
                <w:b w:val="0"/>
                <w:bCs/>
                <w:sz w:val="21"/>
                <w:szCs w:val="21"/>
              </w:rPr>
            </w:pPr>
            <w:r>
              <w:rPr>
                <w:b w:val="0"/>
                <w:bCs/>
                <w:sz w:val="21"/>
                <w:szCs w:val="21"/>
              </w:rPr>
              <w:t>O:16.01.01</w:t>
            </w:r>
          </w:p>
        </w:tc>
        <w:tc>
          <w:tcPr>
            <w:tcW w:w="1614" w:type="dxa"/>
            <w:vAlign w:val="center"/>
          </w:tcPr>
          <w:p>
            <w:pPr>
              <w:jc w:val="center"/>
              <w:rPr>
                <w:b w:val="0"/>
                <w:bCs/>
                <w:sz w:val="21"/>
                <w:szCs w:val="21"/>
              </w:rPr>
            </w:pPr>
            <w:r>
              <w:rPr>
                <w:b w:val="0"/>
                <w:bCs/>
                <w:sz w:val="21"/>
                <w:szCs w:val="21"/>
              </w:rPr>
              <w:t>ISC-211720</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3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11" w:name="组织名称Add"/>
            <w:r>
              <w:rPr>
                <w:rFonts w:ascii="宋体"/>
                <w:b/>
                <w:color w:val="FF0000"/>
                <w:sz w:val="21"/>
              </w:rPr>
              <w:t>甘肃省山丹福利水泥厂</w:t>
            </w:r>
            <w:bookmarkEnd w:id="11"/>
          </w:p>
        </w:tc>
        <w:tc>
          <w:tcPr>
            <w:tcW w:w="163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41"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2" w:name="注册地址"/>
            <w:r>
              <w:rPr>
                <w:rFonts w:ascii="宋体"/>
                <w:b/>
                <w:sz w:val="21"/>
              </w:rPr>
              <w:t>甘肃省张掖市山丹县清泉镇郇庄村</w:t>
            </w:r>
            <w:bookmarkEnd w:id="12"/>
          </w:p>
        </w:tc>
        <w:tc>
          <w:tcPr>
            <w:tcW w:w="1631" w:type="dxa"/>
            <w:vMerge w:val="restart"/>
            <w:vAlign w:val="center"/>
          </w:tcPr>
          <w:p>
            <w:pPr>
              <w:jc w:val="center"/>
              <w:rPr>
                <w:rFonts w:ascii="宋体"/>
                <w:b/>
                <w:sz w:val="21"/>
              </w:rPr>
            </w:pPr>
            <w:r>
              <w:rPr>
                <w:rFonts w:hint="eastAsia" w:ascii="宋体" w:hAnsi="宋体"/>
                <w:b/>
                <w:sz w:val="21"/>
              </w:rPr>
              <w:t>邮编</w:t>
            </w:r>
          </w:p>
        </w:tc>
        <w:tc>
          <w:tcPr>
            <w:tcW w:w="1541" w:type="dxa"/>
          </w:tcPr>
          <w:p>
            <w:pPr>
              <w:ind w:firstLine="422" w:firstLineChars="200"/>
              <w:rPr>
                <w:rFonts w:ascii="宋体"/>
                <w:b/>
                <w:sz w:val="21"/>
              </w:rPr>
            </w:pPr>
            <w:bookmarkStart w:id="13" w:name="注册邮编"/>
            <w:r>
              <w:rPr>
                <w:rFonts w:ascii="宋体"/>
                <w:b/>
                <w:sz w:val="21"/>
              </w:rPr>
              <w:t>734100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jc w:val="center"/>
              <w:rPr>
                <w:rFonts w:ascii="宋体"/>
                <w:b/>
                <w:sz w:val="21"/>
                <w:szCs w:val="22"/>
              </w:rPr>
            </w:pPr>
            <w:bookmarkStart w:id="14" w:name="办公地址"/>
            <w:r>
              <w:rPr>
                <w:rFonts w:ascii="宋体"/>
                <w:b/>
                <w:sz w:val="21"/>
                <w:szCs w:val="22"/>
              </w:rPr>
              <w:t>甘肃省张掖市山丹县清泉镇郇庄村</w:t>
            </w:r>
            <w:bookmarkEnd w:id="14"/>
          </w:p>
        </w:tc>
        <w:tc>
          <w:tcPr>
            <w:tcW w:w="1631" w:type="dxa"/>
            <w:vMerge w:val="continue"/>
            <w:vAlign w:val="center"/>
          </w:tcPr>
          <w:p>
            <w:pPr>
              <w:jc w:val="center"/>
              <w:rPr>
                <w:rFonts w:ascii="宋体"/>
                <w:b/>
                <w:sz w:val="21"/>
              </w:rPr>
            </w:pPr>
          </w:p>
        </w:tc>
        <w:tc>
          <w:tcPr>
            <w:tcW w:w="1541" w:type="dxa"/>
          </w:tcPr>
          <w:p>
            <w:pPr>
              <w:ind w:firstLine="422" w:firstLineChars="200"/>
              <w:rPr>
                <w:rFonts w:ascii="宋体"/>
                <w:b/>
                <w:sz w:val="21"/>
              </w:rPr>
            </w:pPr>
            <w:bookmarkStart w:id="15" w:name="办公邮编"/>
            <w:r>
              <w:rPr>
                <w:rFonts w:ascii="宋体"/>
                <w:b/>
                <w:sz w:val="21"/>
              </w:rPr>
              <w:t>734100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jc w:val="center"/>
              <w:rPr>
                <w:rFonts w:ascii="宋体"/>
                <w:b/>
                <w:sz w:val="21"/>
                <w:szCs w:val="22"/>
              </w:rPr>
            </w:pPr>
            <w:bookmarkStart w:id="16" w:name="生产地址Add"/>
            <w:r>
              <w:rPr>
                <w:rFonts w:ascii="宋体"/>
                <w:b/>
                <w:sz w:val="21"/>
                <w:szCs w:val="22"/>
              </w:rPr>
              <w:t>甘肃省张掖市山丹县清泉镇郇庄村</w:t>
            </w:r>
            <w:bookmarkEnd w:id="16"/>
          </w:p>
        </w:tc>
        <w:tc>
          <w:tcPr>
            <w:tcW w:w="1631" w:type="dxa"/>
            <w:vMerge w:val="continue"/>
            <w:vAlign w:val="center"/>
          </w:tcPr>
          <w:p>
            <w:pPr>
              <w:jc w:val="center"/>
              <w:rPr>
                <w:rFonts w:ascii="宋体"/>
                <w:b/>
                <w:sz w:val="21"/>
              </w:rPr>
            </w:pPr>
          </w:p>
        </w:tc>
        <w:tc>
          <w:tcPr>
            <w:tcW w:w="1541" w:type="dxa"/>
          </w:tcPr>
          <w:p>
            <w:pPr>
              <w:ind w:firstLine="422" w:firstLineChars="200"/>
              <w:rPr>
                <w:rFonts w:ascii="宋体"/>
                <w:b/>
                <w:sz w:val="21"/>
              </w:rPr>
            </w:pPr>
            <w:bookmarkStart w:id="17" w:name="生产邮编"/>
            <w:r>
              <w:rPr>
                <w:rFonts w:ascii="宋体"/>
                <w:b/>
                <w:sz w:val="21"/>
              </w:rPr>
              <w:t>734100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jc w:val="center"/>
              <w:rPr>
                <w:rFonts w:ascii="宋体"/>
                <w:b/>
                <w:sz w:val="21"/>
                <w:szCs w:val="22"/>
              </w:rPr>
            </w:pPr>
            <w:r>
              <w:rPr>
                <w:rFonts w:ascii="宋体"/>
                <w:b/>
                <w:sz w:val="21"/>
                <w:szCs w:val="22"/>
              </w:rPr>
              <w:t>邹寿</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hint="default" w:ascii="宋体" w:eastAsia="宋体"/>
                <w:b/>
                <w:sz w:val="21"/>
                <w:lang w:val="en-US" w:eastAsia="zh-CN"/>
              </w:rPr>
            </w:pPr>
            <w:r>
              <w:rPr>
                <w:rFonts w:hint="eastAsia" w:ascii="宋体"/>
                <w:b/>
                <w:sz w:val="21"/>
                <w:lang w:val="en-US" w:eastAsia="zh-CN"/>
              </w:rPr>
              <w:t>13993681510</w:t>
            </w:r>
          </w:p>
        </w:tc>
        <w:tc>
          <w:tcPr>
            <w:tcW w:w="1631" w:type="dxa"/>
            <w:vAlign w:val="center"/>
          </w:tcPr>
          <w:p>
            <w:pPr>
              <w:jc w:val="center"/>
              <w:rPr>
                <w:rFonts w:ascii="宋体"/>
                <w:b/>
                <w:sz w:val="21"/>
              </w:rPr>
            </w:pPr>
            <w:r>
              <w:rPr>
                <w:rFonts w:hint="eastAsia" w:ascii="宋体" w:hAnsi="宋体"/>
                <w:b/>
                <w:sz w:val="21"/>
              </w:rPr>
              <w:t>传真</w:t>
            </w:r>
          </w:p>
        </w:tc>
        <w:tc>
          <w:tcPr>
            <w:tcW w:w="154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b/>
                <w:sz w:val="21"/>
                <w:szCs w:val="22"/>
              </w:rPr>
            </w:pPr>
            <w:bookmarkStart w:id="19" w:name="法人"/>
            <w:r>
              <w:rPr>
                <w:rFonts w:ascii="宋体"/>
                <w:b/>
                <w:sz w:val="21"/>
                <w:szCs w:val="22"/>
              </w:rPr>
              <w:t>邹寿</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hint="eastAsia" w:ascii="宋体" w:hAnsi="宋体" w:eastAsia="宋体"/>
                <w:b/>
                <w:sz w:val="21"/>
                <w:szCs w:val="21"/>
                <w:lang w:val="en-US" w:eastAsia="zh-CN"/>
              </w:rPr>
            </w:pPr>
            <w:r>
              <w:rPr>
                <w:rFonts w:hint="eastAsia" w:ascii="宋体" w:hAnsi="宋体"/>
                <w:b/>
                <w:sz w:val="21"/>
                <w:szCs w:val="21"/>
                <w:lang w:val="en-US" w:eastAsia="zh-CN"/>
              </w:rPr>
              <w:t>郇玉文</w:t>
            </w:r>
          </w:p>
        </w:tc>
        <w:tc>
          <w:tcPr>
            <w:tcW w:w="1631" w:type="dxa"/>
            <w:vAlign w:val="center"/>
          </w:tcPr>
          <w:p>
            <w:pPr>
              <w:jc w:val="center"/>
              <w:rPr>
                <w:rFonts w:ascii="宋体" w:hAnsi="宋体"/>
                <w:b/>
                <w:sz w:val="21"/>
                <w:szCs w:val="21"/>
              </w:rPr>
            </w:pPr>
            <w:r>
              <w:rPr>
                <w:rFonts w:hint="eastAsia" w:ascii="宋体" w:hAnsi="宋体"/>
                <w:b/>
                <w:sz w:val="21"/>
                <w:szCs w:val="21"/>
              </w:rPr>
              <w:t>管理者代表</w:t>
            </w:r>
          </w:p>
        </w:tc>
        <w:tc>
          <w:tcPr>
            <w:tcW w:w="1541" w:type="dxa"/>
            <w:vAlign w:val="center"/>
          </w:tcPr>
          <w:p>
            <w:pPr>
              <w:jc w:val="center"/>
              <w:rPr>
                <w:rFonts w:hint="eastAsia" w:ascii="宋体" w:eastAsia="宋体"/>
                <w:b/>
                <w:sz w:val="21"/>
                <w:lang w:eastAsia="zh-CN"/>
              </w:rPr>
            </w:pPr>
            <w:r>
              <w:rPr>
                <w:rFonts w:hint="eastAsia" w:ascii="宋体"/>
                <w:b/>
                <w:sz w:val="21"/>
                <w:lang w:eastAsia="zh-CN"/>
              </w:rPr>
              <w:t>邹寿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2020年11月09日 上午至2020年11月11日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ind w:firstLine="632" w:firstLineChars="3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r>
              <w:rPr>
                <w:rFonts w:ascii="宋体" w:hAnsi="宋体"/>
                <w:b/>
                <w:color w:val="000000" w:themeColor="text1"/>
                <w:sz w:val="20"/>
                <w:szCs w:val="20"/>
              </w:rPr>
              <w:t>资质范围内水泥的生产</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ascii="宋体" w:hAnsi="宋体"/>
                <w:b/>
                <w:color w:val="000000" w:themeColor="text1"/>
                <w:sz w:val="20"/>
                <w:szCs w:val="20"/>
              </w:rPr>
              <w:t>资质范围内水泥的生产及其所涉及的相关环境管理活动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ascii="宋体" w:hAnsi="宋体"/>
                <w:b/>
                <w:color w:val="000000" w:themeColor="text1"/>
                <w:sz w:val="20"/>
                <w:szCs w:val="20"/>
              </w:rPr>
              <w:t>资质范围内水泥的生产及其所涉及的相关职业健康安全管理活动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Q：16.01.01</w:t>
            </w:r>
          </w:p>
          <w:p>
            <w:pPr>
              <w:spacing w:line="260" w:lineRule="exact"/>
              <w:rPr>
                <w:rFonts w:ascii="宋体" w:hAnsi="宋体"/>
                <w:b/>
                <w:sz w:val="21"/>
                <w:szCs w:val="21"/>
              </w:rPr>
            </w:pPr>
            <w:r>
              <w:rPr>
                <w:rFonts w:ascii="宋体" w:hAnsi="宋体"/>
                <w:b/>
                <w:sz w:val="21"/>
                <w:szCs w:val="21"/>
              </w:rPr>
              <w:t>E：16.01.01</w:t>
            </w:r>
          </w:p>
          <w:p>
            <w:pPr>
              <w:spacing w:line="260" w:lineRule="exact"/>
              <w:rPr>
                <w:rFonts w:ascii="宋体" w:hAnsi="宋体"/>
                <w:b/>
                <w:sz w:val="21"/>
                <w:szCs w:val="21"/>
              </w:rPr>
            </w:pPr>
            <w:r>
              <w:rPr>
                <w:rFonts w:ascii="宋体" w:hAnsi="宋体"/>
                <w:b/>
                <w:sz w:val="21"/>
                <w:szCs w:val="21"/>
              </w:rPr>
              <w:t>O：16.01.01</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ascii="宋体" w:hAnsi="宋体"/>
                <w:b/>
                <w:sz w:val="21"/>
                <w:szCs w:val="21"/>
              </w:rPr>
            </w:pPr>
            <w:r>
              <w:rPr>
                <w:rFonts w:ascii="宋体" w:hAnsi="宋体"/>
                <w:b/>
                <w:sz w:val="21"/>
                <w:szCs w:val="21"/>
              </w:rPr>
              <w:t>2022-12-15</w:t>
            </w:r>
          </w:p>
        </w:tc>
        <w:tc>
          <w:tcPr>
            <w:tcW w:w="163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41" w:type="dxa"/>
            <w:vAlign w:val="center"/>
          </w:tcPr>
          <w:p>
            <w:pPr>
              <w:spacing w:line="260" w:lineRule="exact"/>
              <w:jc w:val="center"/>
              <w:rPr>
                <w:rFonts w:ascii="宋体" w:hAnsi="宋体"/>
                <w:b/>
                <w:sz w:val="21"/>
                <w:szCs w:val="21"/>
              </w:rPr>
            </w:pPr>
            <w:r>
              <w:rPr>
                <w:rFonts w:ascii="宋体" w:hAnsi="宋体"/>
                <w:b/>
                <w:sz w:val="21"/>
                <w:szCs w:val="21"/>
              </w:rPr>
              <w:t>2019-11-30 -- 2019-12-04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val="0"/>
          <w:bCs/>
          <w:sz w:val="21"/>
          <w:szCs w:val="21"/>
          <w:lang w:val="en-US" w:eastAsia="zh-CN"/>
        </w:rPr>
        <w:t>水泥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b w:val="0"/>
                <w:bCs/>
                <w:color w:val="000000" w:themeColor="text1"/>
                <w:sz w:val="20"/>
                <w:szCs w:val="20"/>
              </w:rPr>
              <w:t>经营范围：资质范围内水泥的生产。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提供了《组织内外部环境因素识别表》：</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内部环境：资源因素－公司提供符合资质范围内水泥的生产的场所，配备适宜的硬件和软件设施设备。信息来源：设施设备清单－具体现状描述：本公司设施设备可以确保资质范围内水泥的生产，基本的质量控制要求－SWOT分析：WT……</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外部环境：竞争力－公司类别：资质范围内水泥的生产，当前市场占有率不高，其他类似企业比较多－信息来源：市场调查和分析－具体现状描述：本公司产品质量稳定，但在市场中同行也多，竞争压力大－SWOT分析：ST……</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公司管理层已确定了外部和内部因素，已经对经营环境、内外部环境进行分析并提出对策，并进行了监视和评审。实施开始时间：20</w:t>
            </w:r>
            <w:r>
              <w:rPr>
                <w:rFonts w:hint="eastAsia"/>
                <w:b w:val="0"/>
                <w:bCs/>
                <w:color w:val="000000" w:themeColor="text1"/>
                <w:sz w:val="20"/>
                <w:szCs w:val="20"/>
                <w:lang w:val="en-US" w:eastAsia="zh-CN"/>
              </w:rPr>
              <w:t>20</w:t>
            </w:r>
            <w:r>
              <w:rPr>
                <w:rFonts w:hint="eastAsia"/>
                <w:b w:val="0"/>
                <w:bCs/>
                <w:color w:val="000000" w:themeColor="text1"/>
                <w:sz w:val="20"/>
                <w:szCs w:val="20"/>
              </w:rPr>
              <w:t>.</w:t>
            </w:r>
            <w:r>
              <w:rPr>
                <w:b w:val="0"/>
                <w:bCs/>
                <w:color w:val="000000" w:themeColor="text1"/>
                <w:sz w:val="20"/>
                <w:szCs w:val="20"/>
              </w:rPr>
              <w:t>06</w:t>
            </w:r>
            <w:r>
              <w:rPr>
                <w:rFonts w:hint="eastAsia"/>
                <w:b w:val="0"/>
                <w:bCs/>
                <w:color w:val="000000" w:themeColor="text1"/>
                <w:sz w:val="20"/>
                <w:szCs w:val="20"/>
              </w:rPr>
              <w:t>.</w:t>
            </w:r>
            <w:r>
              <w:rPr>
                <w:b w:val="0"/>
                <w:bCs/>
                <w:color w:val="000000" w:themeColor="text1"/>
                <w:sz w:val="20"/>
                <w:szCs w:val="20"/>
              </w:rPr>
              <w:t>01</w:t>
            </w:r>
            <w:r>
              <w:rPr>
                <w:rFonts w:hint="eastAsia"/>
                <w:b w:val="0"/>
                <w:bCs/>
                <w:color w:val="000000" w:themeColor="text1"/>
                <w:sz w:val="20"/>
                <w:szCs w:val="20"/>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rFonts w:hint="eastAsia"/>
                <w:b w:val="0"/>
                <w:bCs/>
                <w:color w:val="000000" w:themeColor="text1"/>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b w:val="0"/>
                <w:bCs/>
                <w:color w:val="000000" w:themeColor="text1"/>
                <w:sz w:val="20"/>
                <w:szCs w:val="20"/>
              </w:rPr>
              <w:t>相关方包括顾客、所有者、组织中的成员、供应商、银行、工会、合伙人、竞争对手或社会团体或行业协会。在每年的管理评审前，由相关部门负责人进行识别并评估其适用性,具体部门及识别见管理评审输入。 主要顾客群：房建、公路建设单位等</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相关方期望或要求监测与更新：管理者代表每年在管理评审前组织一次全面的内外部内外部环境要素识别与评审。</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rFonts w:hint="eastAsia"/>
                <w:b w:val="0"/>
                <w:bCs/>
                <w:color w:val="000000" w:themeColor="text1"/>
                <w:sz w:val="20"/>
                <w:szCs w:val="20"/>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b w:val="0"/>
                <w:bCs/>
                <w:color w:val="000000" w:themeColor="text1"/>
                <w:sz w:val="20"/>
                <w:szCs w:val="20"/>
              </w:rPr>
              <w:t>管理方针：关注顾客需求  确保产品符合要求</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 xml:space="preserve">          </w:t>
            </w:r>
            <w:r>
              <w:rPr>
                <w:rFonts w:hint="eastAsia"/>
                <w:b w:val="0"/>
                <w:bCs/>
                <w:color w:val="000000" w:themeColor="text1"/>
                <w:sz w:val="20"/>
                <w:szCs w:val="20"/>
                <w:lang w:val="en-US" w:eastAsia="zh-CN"/>
              </w:rPr>
              <w:t xml:space="preserve">      </w:t>
            </w:r>
            <w:r>
              <w:rPr>
                <w:rFonts w:hint="eastAsia"/>
                <w:b w:val="0"/>
                <w:bCs/>
                <w:color w:val="000000" w:themeColor="text1"/>
                <w:sz w:val="20"/>
                <w:szCs w:val="20"/>
              </w:rPr>
              <w:t>提高环境意识  确保实现污染预防</w:t>
            </w:r>
          </w:p>
          <w:p>
            <w:pPr>
              <w:spacing w:line="240" w:lineRule="exact"/>
              <w:ind w:firstLine="2000" w:firstLineChars="1000"/>
              <w:rPr>
                <w:rFonts w:hint="eastAsia"/>
                <w:b w:val="0"/>
                <w:bCs/>
                <w:color w:val="000000" w:themeColor="text1"/>
                <w:sz w:val="20"/>
                <w:szCs w:val="20"/>
              </w:rPr>
            </w:pPr>
            <w:r>
              <w:rPr>
                <w:rFonts w:hint="eastAsia"/>
                <w:b w:val="0"/>
                <w:bCs/>
                <w:color w:val="000000" w:themeColor="text1"/>
                <w:sz w:val="20"/>
                <w:szCs w:val="20"/>
              </w:rPr>
              <w:t>坚持人本管理  确保员工健康安全</w:t>
            </w:r>
          </w:p>
          <w:p>
            <w:pPr>
              <w:spacing w:line="240" w:lineRule="exact"/>
              <w:ind w:firstLine="2000" w:firstLineChars="1000"/>
              <w:rPr>
                <w:rFonts w:hint="eastAsia"/>
                <w:b w:val="0"/>
                <w:bCs/>
                <w:color w:val="000000" w:themeColor="text1"/>
                <w:sz w:val="20"/>
                <w:szCs w:val="20"/>
              </w:rPr>
            </w:pPr>
            <w:r>
              <w:rPr>
                <w:rFonts w:hint="eastAsia"/>
                <w:b w:val="0"/>
                <w:bCs/>
                <w:color w:val="000000" w:themeColor="text1"/>
                <w:sz w:val="20"/>
                <w:szCs w:val="20"/>
              </w:rPr>
              <w:t>严守法律法规  确保持续改进绩效</w:t>
            </w:r>
          </w:p>
          <w:p>
            <w:pPr>
              <w:spacing w:line="240" w:lineRule="exact"/>
              <w:ind w:firstLine="400" w:firstLineChars="200"/>
              <w:rPr>
                <w:rFonts w:ascii="宋体" w:hAnsi="宋体"/>
                <w:b/>
                <w:sz w:val="21"/>
                <w:szCs w:val="21"/>
              </w:rPr>
            </w:pPr>
            <w:r>
              <w:rPr>
                <w:rFonts w:hint="eastAsia"/>
                <w:b w:val="0"/>
                <w:bCs/>
                <w:color w:val="000000" w:themeColor="text1"/>
                <w:sz w:val="20"/>
                <w:szCs w:val="20"/>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rFonts w:hint="eastAsia"/>
                <w:b w:val="0"/>
                <w:bCs/>
                <w:color w:val="000000" w:themeColor="text1"/>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b w:val="0"/>
                <w:bCs/>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水泥</w:t>
            </w:r>
            <w:r>
              <w:rPr>
                <w:rFonts w:hint="eastAsia" w:ascii="宋体" w:hAnsi="宋体"/>
                <w:b w:val="0"/>
                <w:bCs/>
                <w:color w:val="000000" w:themeColor="text1"/>
                <w:sz w:val="20"/>
                <w:szCs w:val="20"/>
                <w:u w:val="single"/>
                <w:lang w:val="en-US" w:eastAsia="zh-CN"/>
              </w:rPr>
              <w:t>研磨过程</w:t>
            </w:r>
            <w:r>
              <w:rPr>
                <w:rFonts w:hint="eastAsia" w:ascii="宋体" w:hAnsi="宋体"/>
                <w:b w:val="0"/>
                <w:bCs/>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无</w:t>
            </w:r>
          </w:p>
          <w:p>
            <w:pPr>
              <w:tabs>
                <w:tab w:val="left" w:pos="540"/>
              </w:tabs>
              <w:spacing w:line="300" w:lineRule="exact"/>
              <w:ind w:left="201" w:leftChars="0" w:hanging="201" w:hangingChars="100"/>
              <w:rPr>
                <w:rFonts w:ascii="宋体" w:hAnsi="宋体"/>
                <w:b/>
                <w:sz w:val="21"/>
                <w:szCs w:val="21"/>
              </w:rPr>
            </w:pPr>
            <w:r>
              <w:rPr>
                <w:b/>
                <w:color w:val="000000" w:themeColor="text1"/>
                <w:sz w:val="20"/>
                <w:szCs w:val="20"/>
              </w:rPr>
              <w:pict>
                <v:shape id="_x0000_s2053" o:spid="_x0000_s2053"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ascii="宋体" w:hAnsi="宋体"/>
                <w:b w:val="0"/>
                <w:bCs/>
                <w:color w:val="000000" w:themeColor="text1"/>
                <w:sz w:val="20"/>
                <w:szCs w:val="20"/>
              </w:rPr>
              <w:t>8.3</w:t>
            </w:r>
            <w:r>
              <w:rPr>
                <w:rFonts w:hint="eastAsia" w:ascii="宋体" w:hAnsi="宋体"/>
                <w:b w:val="0"/>
                <w:bCs/>
                <w:color w:val="000000" w:themeColor="text1"/>
                <w:sz w:val="20"/>
                <w:szCs w:val="20"/>
              </w:rPr>
              <w:t xml:space="preserve"> </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rPr>
              <w:t>水泥产品为定型产品，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00" w:lineRule="exact"/>
              <w:rPr>
                <w:rFonts w:hint="eastAsia"/>
                <w:b w:val="0"/>
                <w:bCs/>
                <w:color w:val="000000" w:themeColor="text1"/>
                <w:sz w:val="20"/>
                <w:szCs w:val="20"/>
              </w:rPr>
            </w:pPr>
            <w:r>
              <w:rPr>
                <w:b/>
                <w:color w:val="000000" w:themeColor="text1"/>
                <w:sz w:val="20"/>
                <w:szCs w:val="20"/>
              </w:rPr>
              <w:t xml:space="preserve"> </w:t>
            </w:r>
            <w:r>
              <w:rPr>
                <w:rFonts w:hint="eastAsia"/>
                <w:b w:val="0"/>
                <w:bCs/>
                <w:color w:val="000000" w:themeColor="text1"/>
                <w:sz w:val="20"/>
                <w:szCs w:val="20"/>
              </w:rPr>
              <w:t xml:space="preserve">根据公司生产经营性质，识别了各部门和场所的环境因素，并对环境因素进行了评价，评价出了重要环境因素（1.粉尘、废气排放（料堆、送料、水泥磨运行等）、2.能源消耗（电能、机油消耗等） </w:t>
            </w:r>
          </w:p>
          <w:p>
            <w:pPr>
              <w:spacing w:line="240" w:lineRule="exact"/>
              <w:rPr>
                <w:rFonts w:ascii="宋体" w:hAnsi="宋体"/>
                <w:b/>
                <w:sz w:val="21"/>
                <w:szCs w:val="21"/>
              </w:rPr>
            </w:pPr>
            <w:r>
              <w:rPr>
                <w:rFonts w:hint="eastAsia"/>
                <w:b w:val="0"/>
                <w:bCs/>
                <w:color w:val="000000" w:themeColor="text1"/>
                <w:sz w:val="20"/>
                <w:szCs w:val="20"/>
              </w:rPr>
              <w:t>3.噪声排放（设备运转等）、4.火灾爆炸（配电室运行等）)，识别基本齐全，评价合理。基本了解评价动态变更的及时性。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240" w:lineRule="exact"/>
              <w:rPr>
                <w:rFonts w:ascii="宋体" w:hAnsi="宋体"/>
                <w:b/>
                <w:sz w:val="21"/>
                <w:szCs w:val="21"/>
              </w:rPr>
            </w:pPr>
            <w:r>
              <w:rPr>
                <w:rFonts w:hint="eastAsia"/>
                <w:b/>
                <w:color w:val="000000" w:themeColor="text1"/>
                <w:sz w:val="20"/>
                <w:szCs w:val="20"/>
              </w:rPr>
              <w:t xml:space="preserve"> </w:t>
            </w:r>
            <w:r>
              <w:rPr>
                <w:b/>
                <w:color w:val="000000" w:themeColor="text1"/>
                <w:sz w:val="20"/>
                <w:szCs w:val="20"/>
              </w:rPr>
              <w:t xml:space="preserve">   </w:t>
            </w:r>
            <w:r>
              <w:rPr>
                <w:rFonts w:hint="eastAsia"/>
                <w:b w:val="0"/>
                <w:bCs/>
                <w:color w:val="000000" w:themeColor="text1"/>
                <w:sz w:val="20"/>
                <w:szCs w:val="20"/>
              </w:rPr>
              <w:t>根据组织经营性质，识别了各部门和场所的危险源，并对危险源进行了评价，评价出不可接受风险（1.机械伤害（维修作业、设备运转碰伤、挂伤等）、2.触电伤害 （检修、设备运行等）、3.高处坠落（高处作业）、4.职业病伤害（尘肺、噪声伤害）、5.火灾爆炸（配电室运行等）），识别基本齐全，评价合理。基本了解评价动态变更的及时性。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3"/>
              <w:numPr>
                <w:ilvl w:val="0"/>
                <w:numId w:val="0"/>
              </w:numPr>
              <w:tabs>
                <w:tab w:val="left" w:pos="540"/>
              </w:tabs>
              <w:spacing w:line="300" w:lineRule="exact"/>
              <w:rPr>
                <w:rFonts w:ascii="宋体" w:hAnsi="宋体"/>
                <w:b/>
                <w:szCs w:val="21"/>
              </w:rPr>
            </w:pPr>
            <w:r>
              <w:rPr>
                <w:rFonts w:hint="eastAsia" w:ascii="宋体" w:hAnsi="宋体"/>
                <w:b/>
                <w:szCs w:val="21"/>
                <w:lang w:eastAsia="zh-CN"/>
              </w:rPr>
              <w:t>（</w:t>
            </w:r>
            <w:r>
              <w:rPr>
                <w:rFonts w:hint="eastAsia" w:ascii="宋体" w:hAnsi="宋体"/>
                <w:b/>
                <w:szCs w:val="21"/>
                <w:lang w:val="en-US" w:eastAsia="zh-CN"/>
              </w:rPr>
              <w:t>4）</w:t>
            </w: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b w:val="0"/>
                <w:bCs/>
                <w:color w:val="000000" w:themeColor="text1"/>
                <w:sz w:val="20"/>
                <w:szCs w:val="20"/>
              </w:rPr>
            </w:pPr>
            <w:r>
              <w:rPr>
                <w:rFonts w:hint="eastAsia" w:ascii="宋体" w:hAnsi="宋体"/>
                <w:b/>
                <w:sz w:val="21"/>
                <w:szCs w:val="21"/>
              </w:rPr>
              <w:t>（在相关层次上建立可测量的目标，目标、方案的有效性，对质量目标的实现情况进行评价并叙述测量方法）</w:t>
            </w:r>
            <w:r>
              <w:rPr>
                <w:rFonts w:hint="eastAsia"/>
                <w:b w:val="0"/>
                <w:bCs/>
                <w:color w:val="000000" w:themeColor="text1"/>
                <w:sz w:val="20"/>
                <w:szCs w:val="20"/>
              </w:rPr>
              <w:t>在公司各职能和层次上建立了质量、环境和职业健康安全目标，并制定了相应考核办法。基本适宜公司特点。目标具有可测量性，对目标完成情况进行了考核。对制订的管理方案实施情况定期进行检查。目前目标均考核完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00" w:firstLineChars="200"/>
              <w:rPr>
                <w:rFonts w:ascii="宋体" w:hAnsi="宋体"/>
                <w:b w:val="0"/>
                <w:bCs/>
                <w:color w:val="000000" w:themeColor="text1"/>
                <w:sz w:val="20"/>
                <w:szCs w:val="20"/>
              </w:rPr>
            </w:pPr>
            <w:r>
              <w:rPr>
                <w:rFonts w:hint="eastAsia" w:ascii="宋体" w:hAnsi="宋体"/>
                <w:b w:val="0"/>
                <w:bCs/>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rPr>
                <w:rFonts w:ascii="宋体" w:hAnsi="宋体"/>
                <w:b/>
                <w:sz w:val="21"/>
                <w:szCs w:val="21"/>
              </w:rPr>
            </w:pPr>
            <w:r>
              <w:rPr>
                <w:rFonts w:hint="eastAsia" w:ascii="宋体" w:hAnsi="宋体"/>
                <w:b w:val="0"/>
                <w:bCs/>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ascii="宋体" w:hAnsi="宋体"/>
                <w:b w:val="0"/>
                <w:bCs/>
                <w:color w:val="000000" w:themeColor="text1"/>
                <w:sz w:val="20"/>
                <w:szCs w:val="20"/>
              </w:rPr>
              <w:t>该公司员工</w:t>
            </w:r>
            <w:r>
              <w:rPr>
                <w:rFonts w:ascii="宋体" w:hAnsi="宋体"/>
                <w:b w:val="0"/>
                <w:bCs/>
                <w:color w:val="000000" w:themeColor="text1"/>
                <w:sz w:val="20"/>
                <w:szCs w:val="20"/>
              </w:rPr>
              <w:t>25</w:t>
            </w:r>
            <w:r>
              <w:rPr>
                <w:rFonts w:hint="eastAsia" w:ascii="宋体" w:hAnsi="宋体"/>
                <w:b w:val="0"/>
                <w:bCs/>
                <w:color w:val="000000" w:themeColor="text1"/>
                <w:sz w:val="20"/>
                <w:szCs w:val="20"/>
              </w:rPr>
              <w:t>人，管理人员</w:t>
            </w:r>
            <w:r>
              <w:rPr>
                <w:rFonts w:ascii="宋体" w:hAnsi="宋体"/>
                <w:b w:val="0"/>
                <w:bCs/>
                <w:color w:val="000000" w:themeColor="text1"/>
                <w:sz w:val="20"/>
                <w:szCs w:val="20"/>
              </w:rPr>
              <w:t>7</w:t>
            </w:r>
            <w:r>
              <w:rPr>
                <w:rFonts w:hint="eastAsia" w:ascii="宋体" w:hAnsi="宋体"/>
                <w:b w:val="0"/>
                <w:bCs/>
                <w:color w:val="000000" w:themeColor="text1"/>
                <w:sz w:val="20"/>
                <w:szCs w:val="20"/>
              </w:rPr>
              <w:t>人。电工、电焊工、化验员等持证上岗。生产人员进行三级安全教育，人力资源满足要求。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宋体" w:hAnsi="宋体"/>
                <w:b w:val="0"/>
                <w:bCs/>
                <w:color w:val="000000" w:themeColor="text1"/>
                <w:sz w:val="20"/>
                <w:szCs w:val="20"/>
              </w:rPr>
            </w:pPr>
            <w:r>
              <w:rPr>
                <w:rFonts w:hint="eastAsia" w:ascii="宋体" w:hAnsi="宋体"/>
                <w:b/>
                <w:sz w:val="21"/>
                <w:szCs w:val="21"/>
              </w:rPr>
              <w:t>设备设施（包括信息系统）、</w:t>
            </w:r>
            <w:r>
              <w:rPr>
                <w:rFonts w:hint="eastAsia" w:ascii="宋体" w:hAnsi="宋体"/>
                <w:b w:val="0"/>
                <w:bCs/>
                <w:color w:val="000000" w:themeColor="text1"/>
                <w:sz w:val="20"/>
                <w:szCs w:val="20"/>
              </w:rPr>
              <w:t>主要生产设备：微机配料控制系统（水泥生产配料）2.辊压机（熟料破碎）3.可调式高效细碎机（混合材破碎）4.管磨机（水泥粉磨）5.风送机、刮板输送机（水泥密闭输送）6.包装机（水泥包装）7.水泥散装机 （散装水泥）8.磅秤（袋装计量），对设备制定维修保养计划、按计划机械维修和保养并提供维修记录和验收记录，设备适宜。</w:t>
            </w:r>
          </w:p>
          <w:p>
            <w:pPr>
              <w:spacing w:line="300" w:lineRule="exact"/>
              <w:rPr>
                <w:rFonts w:ascii="宋体" w:hAnsi="宋体"/>
                <w:b/>
                <w:sz w:val="21"/>
                <w:szCs w:val="21"/>
              </w:rPr>
            </w:pPr>
            <w:r>
              <w:rPr>
                <w:rFonts w:hint="eastAsia" w:ascii="宋体" w:hAnsi="宋体"/>
                <w:b w:val="0"/>
                <w:bCs/>
                <w:color w:val="000000" w:themeColor="text1"/>
                <w:sz w:val="20"/>
                <w:szCs w:val="20"/>
              </w:rPr>
              <w:t>电子汽车衡经过检定在有效期内。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val="0"/>
                <w:bCs/>
                <w:color w:val="000000" w:themeColor="text1"/>
                <w:sz w:val="20"/>
                <w:szCs w:val="20"/>
              </w:rPr>
            </w:pPr>
            <w:r>
              <w:rPr>
                <w:rFonts w:hint="eastAsia" w:ascii="宋体" w:hAnsi="宋体"/>
                <w:b/>
                <w:sz w:val="21"/>
                <w:szCs w:val="21"/>
              </w:rPr>
              <w:t>过程运行环境</w:t>
            </w:r>
            <w:r>
              <w:rPr>
                <w:rFonts w:hint="eastAsia" w:ascii="宋体" w:hAnsi="宋体"/>
                <w:b/>
                <w:sz w:val="21"/>
                <w:szCs w:val="21"/>
                <w:lang w:eastAsia="zh-CN"/>
              </w:rPr>
              <w:t>：</w:t>
            </w:r>
            <w:r>
              <w:rPr>
                <w:rFonts w:hint="eastAsia" w:ascii="宋体" w:hAnsi="宋体"/>
                <w:b w:val="0"/>
                <w:bCs/>
                <w:color w:val="000000" w:themeColor="text1"/>
                <w:sz w:val="20"/>
                <w:szCs w:val="20"/>
              </w:rPr>
              <w:t>1.车间内有：微机配料控制系统、球磨机、立式磨、除尘器、送风机、刮板输送机、水泥包装机、水泥散装机等等，设备布局合理，状态良好，设备附近粘贴有设备安全操作规程等。</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2.生产车间环境干净、整洁，基本满足生产洁净空间的需要。</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3.成品库房，产品放置整齐、规范、稳固。</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4.查</w:t>
            </w:r>
            <w:r>
              <w:rPr>
                <w:rFonts w:ascii="宋体" w:hAnsi="宋体"/>
                <w:b w:val="0"/>
                <w:bCs/>
                <w:color w:val="000000" w:themeColor="text1"/>
                <w:sz w:val="20"/>
                <w:szCs w:val="20"/>
              </w:rPr>
              <w:t>1</w:t>
            </w:r>
            <w:r>
              <w:rPr>
                <w:rFonts w:hint="eastAsia" w:ascii="宋体" w:hAnsi="宋体"/>
                <w:b w:val="0"/>
                <w:bCs/>
                <w:color w:val="000000" w:themeColor="text1"/>
                <w:sz w:val="20"/>
                <w:szCs w:val="20"/>
              </w:rPr>
              <w:t>个生产车间布局合理，各类生产设备设施布置合理、物资摆放整齐，照明、采光符合生产要求，均配备了有效、足够数量的灭火器。</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5.查办公区各场所地面整洁、墙壁干净能满足工作需要。</w:t>
            </w:r>
          </w:p>
          <w:p>
            <w:pPr>
              <w:spacing w:line="240" w:lineRule="exact"/>
              <w:rPr>
                <w:rFonts w:ascii="宋体" w:hAnsi="宋体"/>
                <w:b/>
                <w:sz w:val="21"/>
                <w:szCs w:val="21"/>
              </w:rPr>
            </w:pPr>
            <w:r>
              <w:rPr>
                <w:rFonts w:hint="eastAsia" w:ascii="宋体" w:hAnsi="宋体"/>
                <w:b w:val="0"/>
                <w:bCs/>
                <w:color w:val="000000" w:themeColor="text1"/>
                <w:sz w:val="20"/>
                <w:szCs w:val="20"/>
              </w:rPr>
              <w:t>生产环境安装除尘器、送风机、刮板输送机等尘设备。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b w:val="0"/>
                <w:bCs/>
                <w:color w:val="000000" w:themeColor="text1"/>
                <w:sz w:val="20"/>
                <w:szCs w:val="20"/>
              </w:rPr>
              <w:t>配置测量设备有：分析天平、电子天平、水泥净浆搅拌机、胶砂振实台、水泥胶砂搅拌机、压力试验机、数控水泥标准养护箱等。品种、规格能够满足产品符合性要求。检定时间有效，见复印件。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b w:val="0"/>
                <w:bCs/>
                <w:color w:val="000000" w:themeColor="text1"/>
                <w:sz w:val="20"/>
                <w:szCs w:val="20"/>
              </w:rPr>
              <w:t>公司确定运行过程所需的知识，</w:t>
            </w:r>
            <w:r>
              <w:rPr>
                <w:rFonts w:hint="eastAsia" w:ascii="宋体" w:hAnsi="宋体"/>
                <w:b w:val="0"/>
                <w:bCs/>
                <w:color w:val="000000" w:themeColor="text1"/>
                <w:sz w:val="20"/>
                <w:szCs w:val="20"/>
                <w:lang w:val="en-US" w:eastAsia="zh-CN"/>
              </w:rPr>
              <w:t>主要是水泥生产、化验、试验的知识，以及</w:t>
            </w:r>
            <w:r>
              <w:rPr>
                <w:rFonts w:hint="eastAsia" w:ascii="宋体" w:hAnsi="宋体"/>
                <w:b w:val="0"/>
                <w:bCs/>
                <w:color w:val="000000" w:themeColor="text1"/>
                <w:sz w:val="20"/>
                <w:szCs w:val="20"/>
              </w:rPr>
              <w:t>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val="0"/>
                <w:bCs/>
                <w:color w:val="000000" w:themeColor="text1"/>
                <w:sz w:val="20"/>
                <w:szCs w:val="20"/>
              </w:rPr>
              <w:t>除尘器、送风机、刮板输送机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val="0"/>
                <w:bCs/>
                <w:color w:val="000000" w:themeColor="text1"/>
                <w:sz w:val="20"/>
                <w:szCs w:val="20"/>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b w:val="0"/>
                <w:bCs/>
                <w:color w:val="000000" w:themeColor="text1"/>
                <w:sz w:val="20"/>
                <w:szCs w:val="20"/>
              </w:rPr>
            </w:pPr>
            <w:r>
              <w:rPr>
                <w:rFonts w:hint="eastAsia" w:ascii="宋体" w:hAnsi="宋体"/>
                <w:b/>
                <w:sz w:val="21"/>
                <w:szCs w:val="21"/>
              </w:rPr>
              <w:t>（包括针对组织宗旨，制定相关管理方针政策、确保方针为员工理解并在运营中实施，监视方针的实施并评审方针的适宜性）</w:t>
            </w:r>
            <w:r>
              <w:rPr>
                <w:b w:val="0"/>
                <w:bCs/>
                <w:color w:val="000000" w:themeColor="text1"/>
                <w:sz w:val="20"/>
                <w:szCs w:val="20"/>
              </w:rPr>
              <w:t xml:space="preserve"> </w:t>
            </w:r>
            <w:r>
              <w:rPr>
                <w:rFonts w:hint="eastAsia"/>
                <w:b w:val="0"/>
                <w:bCs/>
                <w:color w:val="000000" w:themeColor="text1"/>
                <w:sz w:val="20"/>
                <w:szCs w:val="20"/>
              </w:rPr>
              <w:t>1. 管理方针：“关注顾客需求  确保产品符合要求、提高环境意识  确保实现污染预防、坚持人本管理  确保员工健康安全、严守法律法规  确保持续改进绩效”</w:t>
            </w:r>
          </w:p>
          <w:p>
            <w:pPr>
              <w:spacing w:line="300" w:lineRule="exact"/>
              <w:ind w:left="1"/>
              <w:rPr>
                <w:b w:val="0"/>
                <w:bCs/>
                <w:color w:val="000000" w:themeColor="text1"/>
                <w:sz w:val="20"/>
                <w:szCs w:val="20"/>
              </w:rPr>
            </w:pPr>
            <w:r>
              <w:rPr>
                <w:rFonts w:hint="eastAsia"/>
                <w:b w:val="0"/>
                <w:bCs/>
                <w:color w:val="000000" w:themeColor="text1"/>
                <w:sz w:val="20"/>
                <w:szCs w:val="20"/>
              </w:rPr>
              <w:t>2. 管理方针与企业的经营宗旨相适应，协调；</w:t>
            </w:r>
          </w:p>
          <w:p>
            <w:pPr>
              <w:spacing w:line="300" w:lineRule="exact"/>
              <w:ind w:left="1"/>
              <w:rPr>
                <w:rFonts w:ascii="宋体" w:hAnsi="宋体"/>
                <w:b/>
                <w:sz w:val="21"/>
                <w:szCs w:val="21"/>
              </w:rPr>
            </w:pPr>
            <w:r>
              <w:rPr>
                <w:rFonts w:hint="eastAsia"/>
                <w:b w:val="0"/>
                <w:bCs/>
                <w:color w:val="000000" w:themeColor="text1"/>
                <w:sz w:val="20"/>
                <w:szCs w:val="20"/>
              </w:rPr>
              <w:t>3. 通过会议传达，沟通，让全体员工理解执行。并定期进行评审（一般一年一次）。2019年</w:t>
            </w:r>
            <w:r>
              <w:rPr>
                <w:b w:val="0"/>
                <w:bCs/>
                <w:color w:val="000000" w:themeColor="text1"/>
                <w:sz w:val="20"/>
                <w:szCs w:val="20"/>
              </w:rPr>
              <w:t>10</w:t>
            </w:r>
            <w:r>
              <w:rPr>
                <w:rFonts w:hint="eastAsia"/>
                <w:b w:val="0"/>
                <w:bCs/>
                <w:color w:val="000000" w:themeColor="text1"/>
                <w:sz w:val="20"/>
                <w:szCs w:val="20"/>
              </w:rPr>
              <w:t>月</w:t>
            </w:r>
            <w:r>
              <w:rPr>
                <w:b w:val="0"/>
                <w:bCs/>
                <w:color w:val="000000" w:themeColor="text1"/>
                <w:sz w:val="20"/>
                <w:szCs w:val="20"/>
              </w:rPr>
              <w:t>20</w:t>
            </w:r>
            <w:r>
              <w:rPr>
                <w:rFonts w:hint="eastAsia"/>
                <w:b w:val="0"/>
                <w:bCs/>
                <w:color w:val="000000" w:themeColor="text1"/>
                <w:sz w:val="20"/>
                <w:szCs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val="0"/>
                <w:bCs/>
                <w:sz w:val="21"/>
                <w:szCs w:val="21"/>
              </w:rPr>
            </w:pPr>
            <w:r>
              <w:rPr>
                <w:rFonts w:hint="eastAsia" w:ascii="宋体" w:hAnsi="宋体"/>
                <w:b/>
                <w:sz w:val="21"/>
                <w:szCs w:val="21"/>
              </w:rPr>
              <w:t>内部沟通的情况：内部沟通方式：</w:t>
            </w:r>
            <w:r>
              <w:rPr>
                <w:rFonts w:hint="eastAsia"/>
                <w:b w:val="0"/>
                <w:bCs/>
                <w:color w:val="000000" w:themeColor="text1"/>
                <w:sz w:val="20"/>
                <w:szCs w:val="20"/>
              </w:rPr>
              <w:t>会议、公告栏、发放文件、网络等</w:t>
            </w:r>
          </w:p>
          <w:p>
            <w:pPr>
              <w:spacing w:line="240" w:lineRule="exact"/>
              <w:rPr>
                <w:rFonts w:ascii="宋体" w:hAnsi="宋体"/>
                <w:b/>
                <w:sz w:val="21"/>
                <w:szCs w:val="21"/>
              </w:rPr>
            </w:pPr>
            <w:r>
              <w:rPr>
                <w:rFonts w:hint="eastAsia" w:ascii="宋体" w:hAnsi="宋体"/>
                <w:b/>
                <w:sz w:val="21"/>
                <w:szCs w:val="21"/>
              </w:rPr>
              <w:t>内部沟通的效果：</w:t>
            </w:r>
            <w:r>
              <w:rPr>
                <w:rFonts w:hint="eastAsia"/>
                <w:b w:val="0"/>
                <w:bCs/>
                <w:color w:val="000000" w:themeColor="text1"/>
                <w:sz w:val="20"/>
                <w:szCs w:val="20"/>
              </w:rPr>
              <w:t>能够得到有效沟通</w:t>
            </w:r>
          </w:p>
          <w:p>
            <w:pPr>
              <w:spacing w:line="240" w:lineRule="exact"/>
              <w:rPr>
                <w:rFonts w:ascii="宋体" w:hAnsi="宋体"/>
                <w:b/>
                <w:sz w:val="21"/>
                <w:szCs w:val="21"/>
              </w:rPr>
            </w:pPr>
          </w:p>
          <w:p>
            <w:pPr>
              <w:spacing w:line="240" w:lineRule="exact"/>
              <w:rPr>
                <w:rFonts w:ascii="宋体" w:hAnsi="宋体"/>
                <w:b w:val="0"/>
                <w:bCs/>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 w:val="0"/>
                <w:bCs/>
                <w:color w:val="000000" w:themeColor="text1"/>
                <w:sz w:val="20"/>
                <w:szCs w:val="20"/>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b w:val="0"/>
                <w:bCs/>
                <w:color w:val="000000" w:themeColor="text1"/>
                <w:sz w:val="20"/>
                <w:szCs w:val="20"/>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b w:val="0"/>
                <w:bCs/>
                <w:color w:val="000000" w:themeColor="text1"/>
                <w:sz w:val="20"/>
                <w:szCs w:val="20"/>
              </w:rPr>
              <w:t>对相关方进行了书面告知。</w:t>
            </w:r>
          </w:p>
          <w:p>
            <w:pPr>
              <w:spacing w:line="240" w:lineRule="exact"/>
              <w:rPr>
                <w:rFonts w:ascii="宋体" w:hAnsi="宋体"/>
                <w:b/>
                <w:sz w:val="21"/>
                <w:szCs w:val="21"/>
              </w:rPr>
            </w:pPr>
          </w:p>
          <w:p>
            <w:pPr>
              <w:spacing w:line="240" w:lineRule="exact"/>
              <w:rPr>
                <w:b w:val="0"/>
                <w:bCs/>
                <w:color w:val="000000" w:themeColor="text1"/>
                <w:sz w:val="20"/>
                <w:szCs w:val="20"/>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参与了管理体系文件的制定，每年召开一次员工代表会议。</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 w:val="0"/>
                <w:bCs/>
                <w:color w:val="000000" w:themeColor="text1"/>
                <w:sz w:val="20"/>
                <w:szCs w:val="20"/>
              </w:rPr>
              <w:t>公司识别关键过程：水泥磨过程，需要确认的过程：无，对其过程进行了重点有效控制，控制有效</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val="0"/>
                <w:bCs/>
                <w:sz w:val="21"/>
                <w:szCs w:val="21"/>
              </w:rPr>
            </w:pPr>
            <w:r>
              <w:rPr>
                <w:rFonts w:hint="eastAsia"/>
                <w:b w:val="0"/>
                <w:bCs/>
                <w:color w:val="000000" w:themeColor="text1"/>
                <w:sz w:val="20"/>
                <w:szCs w:val="20"/>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0" w:firstLineChars="100"/>
              <w:rPr>
                <w:b/>
                <w:color w:val="000000" w:themeColor="text1"/>
                <w:sz w:val="20"/>
                <w:szCs w:val="20"/>
              </w:rPr>
            </w:pPr>
            <w:r>
              <w:rPr>
                <w:rFonts w:hint="eastAsia"/>
                <w:b w:val="0"/>
                <w:bCs/>
                <w:color w:val="000000" w:themeColor="text1"/>
                <w:sz w:val="20"/>
                <w:szCs w:val="20"/>
              </w:rPr>
              <w:t>委托检验《3</w:t>
            </w:r>
            <w:r>
              <w:rPr>
                <w:b w:val="0"/>
                <w:bCs/>
                <w:color w:val="000000" w:themeColor="text1"/>
                <w:sz w:val="20"/>
                <w:szCs w:val="20"/>
              </w:rPr>
              <w:t>2.5A</w:t>
            </w:r>
            <w:r>
              <w:rPr>
                <w:rFonts w:hint="eastAsia"/>
                <w:b w:val="0"/>
                <w:bCs/>
                <w:color w:val="000000" w:themeColor="text1"/>
                <w:sz w:val="20"/>
                <w:szCs w:val="20"/>
              </w:rPr>
              <w:t>型矿渣硅酸盐水泥检验报告》、《42.5普通硅酸盐水泥检验报告》见附件</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重要环境因素：1.粉尘、废气排放（料堆、送料、水泥磨运行等）</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 xml:space="preserve">2.能源消耗（电能、机油消耗等） </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3.噪声排放（设备运转等）</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4.火灾爆炸（配电室运行等）；</w:t>
            </w:r>
          </w:p>
          <w:p>
            <w:pPr>
              <w:spacing w:line="240" w:lineRule="exact"/>
              <w:ind w:firstLine="400" w:firstLineChars="200"/>
              <w:rPr>
                <w:rFonts w:ascii="宋体" w:hAnsi="宋体"/>
                <w:b/>
                <w:sz w:val="21"/>
                <w:szCs w:val="21"/>
              </w:rPr>
            </w:pPr>
            <w:r>
              <w:rPr>
                <w:rFonts w:hint="eastAsia"/>
                <w:b w:val="0"/>
                <w:bCs/>
                <w:color w:val="000000" w:themeColor="text1"/>
                <w:sz w:val="20"/>
                <w:szCs w:val="20"/>
              </w:rPr>
              <w:t>控制措施：《消防安全控制程序》、《危险化学品管理程序》、《环境运行控制程序》、《节能降耗控制程序》等及目标指标和管理方案，火灾应急预案等。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val="0"/>
                <w:bCs/>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b w:val="0"/>
                <w:bCs/>
                <w:color w:val="000000" w:themeColor="text1"/>
                <w:sz w:val="20"/>
                <w:szCs w:val="20"/>
              </w:rPr>
              <w:t>对不可接受危险源进行了识别：1.机械伤害（维修作业、设备运转碰伤、挂伤等）、2.触电伤害 （检修、设备运行等）    、3.高处坠落（高处作业）、4.职业病伤害（尘肺、噪声伤害）、5.火灾爆炸（配电室运行等）</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控制措施：《危险源辨识和风险评价控制程序》、《职业健康控制程序》、《安全工作管理程序》、《劳动保护用品管理程序》等及目标指标和管理方案，火灾、触电应急预案等。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b/>
                <w:color w:val="000000" w:themeColor="text1"/>
                <w:spacing w:val="-4"/>
                <w:sz w:val="20"/>
                <w:szCs w:val="20"/>
              </w:rPr>
              <w:t xml:space="preserve"> </w:t>
            </w:r>
            <w:r>
              <w:rPr>
                <w:rFonts w:hint="eastAsia"/>
                <w:b w:val="0"/>
                <w:bCs/>
                <w:color w:val="000000" w:themeColor="text1"/>
                <w:spacing w:val="-4"/>
                <w:sz w:val="20"/>
                <w:szCs w:val="20"/>
              </w:rPr>
              <w:t>对火灾突发事件等制定了应急预案，提供了火灾、触电“应急预案演练记录”，对演练效果进行评价。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w:t>
            </w:r>
            <w:r>
              <w:rPr>
                <w:rFonts w:hint="eastAsia"/>
                <w:b/>
                <w:color w:val="000000" w:themeColor="text1"/>
                <w:sz w:val="20"/>
                <w:szCs w:val="20"/>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b w:val="0"/>
                <w:bCs/>
                <w:color w:val="000000" w:themeColor="text1"/>
                <w:sz w:val="20"/>
                <w:szCs w:val="20"/>
              </w:rPr>
              <w:t>化验室用危险化学品，使用储存等符合要求。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b/>
                <w:color w:val="000000" w:themeColor="text1"/>
                <w:sz w:val="20"/>
                <w:szCs w:val="20"/>
              </w:rPr>
              <w:t xml:space="preserve"> </w:t>
            </w:r>
            <w:r>
              <w:rPr>
                <w:rFonts w:hint="eastAsia"/>
                <w:b w:val="0"/>
                <w:bCs/>
                <w:color w:val="000000" w:themeColor="text1"/>
                <w:sz w:val="20"/>
                <w:szCs w:val="20"/>
              </w:rPr>
              <w:t>对质量、环境和职业健康安全目标进行了考核，查到2019年第三季度公司及各部门完成情况，各项质量、环境和业健康安全目标均已完成。目标具备可测量性。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b w:val="0"/>
                <w:bCs/>
                <w:color w:val="000000" w:themeColor="text1"/>
                <w:sz w:val="20"/>
                <w:szCs w:val="20"/>
              </w:rPr>
              <w:t>能稳定向顾客提供较满意的生产服务。对顾客进行满意度调查，并进行了简要分析</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2020年顾客满意度为96%。</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hint="eastAsia"/>
                <w:b w:val="0"/>
                <w:bCs/>
                <w:color w:val="000000" w:themeColor="text1"/>
                <w:sz w:val="20"/>
                <w:szCs w:val="20"/>
                <w:lang w:val="en-US" w:eastAsia="zh-CN"/>
              </w:rPr>
            </w:pPr>
            <w:r>
              <w:rPr>
                <w:rFonts w:hint="eastAsia"/>
                <w:b w:val="0"/>
                <w:bCs/>
                <w:color w:val="000000" w:themeColor="text1"/>
                <w:sz w:val="20"/>
                <w:szCs w:val="20"/>
              </w:rPr>
              <w:t>本年度内审已按计划实施，内审策划审核方案中考虑了拟审核的过程和区域的状况和重要性，内审时间20</w:t>
            </w:r>
            <w:r>
              <w:rPr>
                <w:rFonts w:hint="eastAsia"/>
                <w:b w:val="0"/>
                <w:bCs/>
                <w:color w:val="000000" w:themeColor="text1"/>
                <w:sz w:val="20"/>
                <w:szCs w:val="20"/>
                <w:lang w:val="en-US" w:eastAsia="zh-CN"/>
              </w:rPr>
              <w:t>20</w:t>
            </w:r>
            <w:r>
              <w:rPr>
                <w:rFonts w:hint="eastAsia"/>
                <w:b w:val="0"/>
                <w:bCs/>
                <w:color w:val="000000" w:themeColor="text1"/>
                <w:sz w:val="20"/>
                <w:szCs w:val="20"/>
              </w:rPr>
              <w:t>.</w:t>
            </w:r>
            <w:r>
              <w:rPr>
                <w:rFonts w:hint="eastAsia"/>
                <w:b w:val="0"/>
                <w:bCs/>
                <w:color w:val="000000" w:themeColor="text1"/>
                <w:sz w:val="20"/>
                <w:szCs w:val="20"/>
                <w:lang w:val="en-US" w:eastAsia="zh-CN"/>
              </w:rPr>
              <w:t>8</w:t>
            </w:r>
            <w:r>
              <w:rPr>
                <w:rFonts w:hint="eastAsia"/>
                <w:b w:val="0"/>
                <w:bCs/>
                <w:color w:val="000000" w:themeColor="text1"/>
                <w:sz w:val="20"/>
                <w:szCs w:val="20"/>
              </w:rPr>
              <w:t>.1</w:t>
            </w:r>
            <w:r>
              <w:rPr>
                <w:b w:val="0"/>
                <w:bCs/>
                <w:color w:val="000000" w:themeColor="text1"/>
                <w:sz w:val="20"/>
                <w:szCs w:val="20"/>
              </w:rPr>
              <w:t>0</w:t>
            </w:r>
            <w:r>
              <w:rPr>
                <w:rFonts w:hint="eastAsia"/>
                <w:b w:val="0"/>
                <w:bCs/>
                <w:color w:val="000000" w:themeColor="text1"/>
                <w:sz w:val="20"/>
                <w:szCs w:val="20"/>
              </w:rPr>
              <w:t>-</w:t>
            </w:r>
            <w:r>
              <w:rPr>
                <w:b w:val="0"/>
                <w:bCs/>
                <w:color w:val="000000" w:themeColor="text1"/>
                <w:sz w:val="20"/>
                <w:szCs w:val="20"/>
              </w:rPr>
              <w:t>12</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开出1个不符合项报告，并对不符合项进行分析制定纠正措施，不符合项整改有效。</w:t>
            </w:r>
          </w:p>
          <w:p>
            <w:pPr>
              <w:spacing w:line="240" w:lineRule="exact"/>
              <w:rPr>
                <w:rFonts w:ascii="宋体" w:hAnsi="宋体"/>
                <w:b/>
                <w:sz w:val="21"/>
                <w:szCs w:val="21"/>
              </w:rPr>
            </w:pPr>
            <w:r>
              <w:rPr>
                <w:rFonts w:hint="eastAsia"/>
                <w:b w:val="0"/>
                <w:bCs/>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color w:val="000000" w:themeColor="text1"/>
                <w:sz w:val="20"/>
                <w:szCs w:val="20"/>
              </w:rPr>
            </w:pP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rFonts w:hint="eastAsia"/>
                <w:b w:val="0"/>
                <w:bCs/>
                <w:color w:val="000000" w:themeColor="text1"/>
                <w:sz w:val="20"/>
                <w:szCs w:val="20"/>
                <w:lang w:val="en-US" w:eastAsia="zh-CN"/>
              </w:rPr>
              <w:t>8</w:t>
            </w:r>
            <w:r>
              <w:rPr>
                <w:rFonts w:hint="eastAsia"/>
                <w:b w:val="0"/>
                <w:bCs/>
                <w:color w:val="000000" w:themeColor="text1"/>
                <w:sz w:val="20"/>
                <w:szCs w:val="20"/>
              </w:rPr>
              <w:t>月2</w:t>
            </w:r>
            <w:r>
              <w:rPr>
                <w:b w:val="0"/>
                <w:bCs/>
                <w:color w:val="000000" w:themeColor="text1"/>
                <w:sz w:val="20"/>
                <w:szCs w:val="20"/>
              </w:rPr>
              <w:t>0</w:t>
            </w:r>
            <w:r>
              <w:rPr>
                <w:rFonts w:hint="eastAsia"/>
                <w:b w:val="0"/>
                <w:bCs/>
                <w:color w:val="000000" w:themeColor="text1"/>
                <w:sz w:val="20"/>
                <w:szCs w:val="20"/>
              </w:rPr>
              <w:t>日，管理评审考虑了体系变更需求，评审了方针有效、适宜和充分。制定了改进措施</w:t>
            </w:r>
            <w:r>
              <w:rPr>
                <w:rFonts w:hint="eastAsia"/>
                <w:b w:val="0"/>
                <w:bCs/>
                <w:color w:val="000000" w:themeColor="text1"/>
                <w:sz w:val="20"/>
                <w:szCs w:val="20"/>
                <w:lang w:val="en-US" w:eastAsia="zh-CN"/>
              </w:rPr>
              <w:t>1项</w:t>
            </w:r>
            <w:r>
              <w:rPr>
                <w:rFonts w:hint="eastAsia"/>
                <w:b w:val="0"/>
                <w:bCs/>
                <w:color w:val="000000" w:themeColor="text1"/>
                <w:sz w:val="20"/>
                <w:szCs w:val="20"/>
              </w:rPr>
              <w:t>，体系运行基本有效。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 xml:space="preserve">   </w:t>
            </w:r>
            <w:r>
              <w:rPr>
                <w:rFonts w:hint="eastAsia"/>
                <w:b w:val="0"/>
                <w:bCs/>
                <w:color w:val="000000" w:themeColor="text1"/>
                <w:sz w:val="20"/>
                <w:szCs w:val="20"/>
              </w:rPr>
              <w:t>该公司主要污染物是</w:t>
            </w:r>
            <w:r>
              <w:rPr>
                <w:rFonts w:hint="eastAsia"/>
                <w:b w:val="0"/>
                <w:bCs/>
                <w:color w:val="000000" w:themeColor="text1"/>
                <w:sz w:val="20"/>
                <w:szCs w:val="20"/>
                <w:lang w:val="en-US" w:eastAsia="zh-CN"/>
              </w:rPr>
              <w:t>粉尘、</w:t>
            </w:r>
            <w:r>
              <w:rPr>
                <w:rFonts w:hint="eastAsia"/>
                <w:b w:val="0"/>
                <w:bCs/>
                <w:color w:val="000000" w:themeColor="text1"/>
                <w:sz w:val="20"/>
                <w:szCs w:val="20"/>
              </w:rPr>
              <w:t>废气、噪声，公司定期对其排放实施了例行的监视或测量提供检测报告，</w:t>
            </w:r>
            <w:r>
              <w:rPr>
                <w:rFonts w:hint="eastAsia"/>
                <w:b w:val="0"/>
                <w:bCs/>
                <w:color w:val="000000" w:themeColor="text1"/>
                <w:sz w:val="20"/>
                <w:szCs w:val="20"/>
                <w:lang w:val="en-US" w:eastAsia="zh-CN"/>
              </w:rPr>
              <w:t>检测时间：2020.9月30日，</w:t>
            </w:r>
            <w:r>
              <w:rPr>
                <w:rFonts w:hint="eastAsia"/>
                <w:b w:val="0"/>
                <w:bCs/>
                <w:color w:val="000000" w:themeColor="text1"/>
                <w:sz w:val="20"/>
                <w:szCs w:val="20"/>
              </w:rPr>
              <w:t>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bookmarkStart w:id="26" w:name="_GoBack"/>
            <w:bookmarkEnd w:id="26"/>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b/>
                <w:color w:val="000000" w:themeColor="text1"/>
                <w:sz w:val="20"/>
                <w:szCs w:val="20"/>
              </w:rPr>
              <w:t xml:space="preserve"> </w:t>
            </w:r>
            <w:r>
              <w:rPr>
                <w:rFonts w:hint="eastAsia"/>
                <w:b/>
                <w:color w:val="000000" w:themeColor="text1"/>
                <w:sz w:val="20"/>
                <w:szCs w:val="20"/>
              </w:rPr>
              <w:t>提供环评报告及环境检测报告</w:t>
            </w:r>
          </w:p>
          <w:p>
            <w:pPr>
              <w:spacing w:line="240" w:lineRule="exact"/>
              <w:rPr>
                <w:rFonts w:ascii="宋体" w:hAnsi="宋体"/>
                <w:b/>
                <w:sz w:val="21"/>
                <w:szCs w:val="21"/>
              </w:rPr>
            </w:pPr>
            <w:r>
              <w:rPr>
                <w:b/>
                <w:color w:val="000000" w:themeColor="text1"/>
                <w:sz w:val="20"/>
                <w:szCs w:val="20"/>
              </w:rPr>
              <w:t xml:space="preserve"> </w:t>
            </w:r>
            <w:r>
              <w:rPr>
                <w:rFonts w:hint="eastAsia"/>
                <w:b w:val="0"/>
                <w:bCs/>
                <w:color w:val="000000" w:themeColor="text1"/>
                <w:sz w:val="20"/>
                <w:szCs w:val="20"/>
              </w:rPr>
              <w:t>公司定期对职业健康安全管理体系运行进行检查，</w:t>
            </w:r>
            <w:r>
              <w:rPr>
                <w:rFonts w:hint="eastAsia"/>
                <w:b w:val="0"/>
                <w:bCs/>
                <w:color w:val="000000" w:themeColor="text1"/>
                <w:sz w:val="20"/>
                <w:szCs w:val="20"/>
                <w:lang w:val="en-US" w:eastAsia="zh-CN"/>
              </w:rPr>
              <w:t xml:space="preserve">体检时间：2020.9.10,  </w:t>
            </w:r>
            <w:r>
              <w:rPr>
                <w:rFonts w:hint="eastAsia"/>
                <w:b w:val="0"/>
                <w:bCs/>
                <w:color w:val="000000" w:themeColor="text1"/>
                <w:sz w:val="20"/>
                <w:szCs w:val="20"/>
              </w:rPr>
              <w:t>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ind w:firstLine="400" w:firstLineChars="200"/>
              <w:rPr>
                <w:rFonts w:ascii="宋体" w:hAnsi="宋体"/>
                <w:b/>
                <w:sz w:val="21"/>
                <w:szCs w:val="21"/>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val="0"/>
                <w:bCs/>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 w:val="0"/>
                <w:bCs/>
                <w:color w:val="000000" w:themeColor="text1"/>
                <w:sz w:val="20"/>
                <w:szCs w:val="20"/>
              </w:rPr>
              <w:t>对内审</w:t>
            </w:r>
            <w:r>
              <w:rPr>
                <w:rFonts w:hint="eastAsia"/>
                <w:b w:val="0"/>
                <w:bCs/>
                <w:color w:val="000000" w:themeColor="text1"/>
                <w:sz w:val="20"/>
                <w:szCs w:val="20"/>
                <w:lang w:val="en-US" w:eastAsia="zh-CN"/>
              </w:rPr>
              <w:t>和外审</w:t>
            </w:r>
            <w:r>
              <w:rPr>
                <w:rFonts w:hint="eastAsia"/>
                <w:b w:val="0"/>
                <w:bCs/>
                <w:color w:val="000000" w:themeColor="text1"/>
                <w:sz w:val="20"/>
                <w:szCs w:val="20"/>
              </w:rPr>
              <w:t>发现的不合格进行了分析、制定了纠正措施，实施了整改，对整改效果进行了追踪验证，结论合格，对不合格品可以进行有效控制。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color w:val="000000" w:themeColor="text1"/>
                <w:sz w:val="21"/>
                <w:szCs w:val="21"/>
                <w:lang w:val="en-US" w:eastAsia="zh-CN"/>
              </w:rPr>
            </w:pPr>
            <w:r>
              <w:rPr>
                <w:rFonts w:hint="eastAsia" w:ascii="宋体" w:hAnsi="宋体"/>
                <w:b/>
                <w:color w:val="000000" w:themeColor="text1"/>
                <w:sz w:val="21"/>
                <w:szCs w:val="21"/>
              </w:rPr>
              <w:t>上次不符合的整改情况</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初审开出2个不符合项：</w:t>
            </w:r>
          </w:p>
          <w:p>
            <w:pPr>
              <w:numPr>
                <w:ilvl w:val="0"/>
                <w:numId w:val="0"/>
              </w:numPr>
              <w:spacing w:line="240" w:lineRule="exact"/>
              <w:rPr>
                <w:rFonts w:hint="eastAsia"/>
                <w:b w:val="0"/>
                <w:bCs/>
                <w:color w:val="000000" w:themeColor="text1"/>
                <w:sz w:val="20"/>
                <w:szCs w:val="20"/>
              </w:rPr>
            </w:pPr>
            <w:r>
              <w:rPr>
                <w:rFonts w:hint="eastAsia"/>
                <w:b w:val="0"/>
                <w:bCs/>
                <w:color w:val="000000" w:themeColor="text1"/>
                <w:sz w:val="20"/>
                <w:szCs w:val="20"/>
                <w:lang w:eastAsia="zh-CN"/>
              </w:rPr>
              <w:t>（</w:t>
            </w:r>
            <w:r>
              <w:rPr>
                <w:rFonts w:hint="eastAsia"/>
                <w:b w:val="0"/>
                <w:bCs/>
                <w:color w:val="000000" w:themeColor="text1"/>
                <w:sz w:val="20"/>
                <w:szCs w:val="20"/>
                <w:lang w:val="en-US" w:eastAsia="zh-CN"/>
              </w:rPr>
              <w:t>1</w:t>
            </w:r>
            <w:r>
              <w:rPr>
                <w:rFonts w:hint="eastAsia"/>
                <w:b w:val="0"/>
                <w:bCs/>
                <w:color w:val="000000" w:themeColor="text1"/>
                <w:sz w:val="20"/>
                <w:szCs w:val="20"/>
                <w:lang w:eastAsia="zh-CN"/>
              </w:rPr>
              <w:t>）</w:t>
            </w:r>
            <w:r>
              <w:rPr>
                <w:rFonts w:hint="eastAsia"/>
                <w:b w:val="0"/>
                <w:bCs/>
                <w:color w:val="000000" w:themeColor="text1"/>
                <w:sz w:val="20"/>
                <w:szCs w:val="20"/>
              </w:rPr>
              <w:t>2019年11月5日水泥出厂通知单，</w:t>
            </w:r>
          </w:p>
          <w:p>
            <w:pPr>
              <w:spacing w:line="240" w:lineRule="exact"/>
              <w:rPr>
                <w:rFonts w:hint="eastAsia"/>
                <w:b w:val="0"/>
                <w:bCs/>
                <w:color w:val="000000" w:themeColor="text1"/>
                <w:sz w:val="20"/>
                <w:szCs w:val="20"/>
                <w:lang w:val="en-US" w:eastAsia="zh-CN"/>
              </w:rPr>
            </w:pPr>
            <w:r>
              <w:rPr>
                <w:rFonts w:hint="eastAsia"/>
                <w:b w:val="0"/>
                <w:bCs/>
                <w:color w:val="000000" w:themeColor="text1"/>
                <w:sz w:val="20"/>
                <w:szCs w:val="20"/>
              </w:rPr>
              <w:t>编号：H38 签发日期：2019.11.5无授权人签章。</w:t>
            </w:r>
            <w:r>
              <w:rPr>
                <w:rFonts w:hint="eastAsia"/>
                <w:b w:val="0"/>
                <w:bCs/>
                <w:color w:val="000000" w:themeColor="text1"/>
                <w:sz w:val="20"/>
                <w:szCs w:val="20"/>
                <w:lang w:val="en-US" w:eastAsia="zh-CN"/>
              </w:rPr>
              <w:t>经对所有的通知单近检查，都有授权人的签章；</w:t>
            </w:r>
          </w:p>
          <w:p>
            <w:pPr>
              <w:spacing w:line="240" w:lineRule="exact"/>
              <w:rPr>
                <w:rFonts w:hint="eastAsia"/>
                <w:b w:val="0"/>
                <w:bCs/>
                <w:color w:val="000000" w:themeColor="text1"/>
                <w:sz w:val="20"/>
                <w:szCs w:val="20"/>
              </w:rPr>
            </w:pPr>
            <w:r>
              <w:rPr>
                <w:rFonts w:hint="eastAsia"/>
                <w:b w:val="0"/>
                <w:bCs/>
                <w:color w:val="000000" w:themeColor="text1"/>
                <w:sz w:val="20"/>
                <w:szCs w:val="20"/>
                <w:lang w:val="en-US" w:eastAsia="zh-CN"/>
              </w:rPr>
              <w:t>（2）</w:t>
            </w:r>
            <w:r>
              <w:rPr>
                <w:rFonts w:hint="eastAsia"/>
                <w:b w:val="0"/>
                <w:bCs/>
                <w:color w:val="000000" w:themeColor="text1"/>
                <w:sz w:val="20"/>
                <w:szCs w:val="20"/>
              </w:rPr>
              <w:t>未提供对水泥辅料相关方金昌水泥（集团）有限责任公司、酒钢（集团）宏达建材有限责任公司</w:t>
            </w:r>
          </w:p>
          <w:p>
            <w:pPr>
              <w:spacing w:line="240" w:lineRule="exact"/>
              <w:rPr>
                <w:rFonts w:hint="eastAsia"/>
                <w:b w:val="0"/>
                <w:bCs/>
                <w:color w:val="000000" w:themeColor="text1"/>
                <w:sz w:val="20"/>
                <w:szCs w:val="20"/>
                <w:lang w:val="en-US" w:eastAsia="zh-CN"/>
              </w:rPr>
            </w:pPr>
            <w:r>
              <w:rPr>
                <w:rFonts w:hint="eastAsia"/>
                <w:b w:val="0"/>
                <w:bCs/>
                <w:color w:val="000000" w:themeColor="text1"/>
                <w:sz w:val="20"/>
                <w:szCs w:val="20"/>
              </w:rPr>
              <w:t>进行相关方告知的证据。</w:t>
            </w:r>
            <w:r>
              <w:rPr>
                <w:rFonts w:hint="eastAsia"/>
                <w:b w:val="0"/>
                <w:bCs/>
                <w:color w:val="000000" w:themeColor="text1"/>
                <w:sz w:val="20"/>
                <w:szCs w:val="20"/>
                <w:lang w:val="en-US" w:eastAsia="zh-CN"/>
              </w:rPr>
              <w:t>经对所有相关方进行检查，都有相关方告知的“环境和职业健康安全告知书”</w:t>
            </w:r>
          </w:p>
          <w:p>
            <w:pPr>
              <w:spacing w:line="240" w:lineRule="exact"/>
              <w:rPr>
                <w:rFonts w:hint="default"/>
                <w:b w:val="0"/>
                <w:bCs/>
                <w:color w:val="000000" w:themeColor="text1"/>
                <w:sz w:val="20"/>
                <w:szCs w:val="20"/>
                <w:lang w:val="en-US" w:eastAsia="zh-CN"/>
              </w:rPr>
            </w:pPr>
            <w:r>
              <w:rPr>
                <w:rFonts w:hint="eastAsia"/>
                <w:b w:val="0"/>
                <w:bCs/>
                <w:color w:val="000000" w:themeColor="text1"/>
                <w:sz w:val="20"/>
                <w:szCs w:val="20"/>
                <w:lang w:val="en-US" w:eastAsia="zh-CN"/>
              </w:rPr>
              <w:t>纠正措施实施有效。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eastAsia="zh-CN"/>
        </w:rPr>
        <w:t>（</w:t>
      </w:r>
      <w:r>
        <w:rPr>
          <w:rFonts w:hint="eastAsia" w:ascii="宋体" w:hAnsi="宋体"/>
          <w:b/>
          <w:szCs w:val="21"/>
          <w:lang w:val="en-US" w:eastAsia="zh-CN"/>
        </w:rPr>
        <w:t>供应科）</w:t>
      </w:r>
      <w:r>
        <w:rPr>
          <w:rFonts w:hint="eastAsia" w:ascii="宋体" w:hAnsi="宋体"/>
          <w:b/>
          <w:szCs w:val="21"/>
        </w:rPr>
        <w:t>部门</w:t>
      </w:r>
      <w:r>
        <w:rPr>
          <w:rFonts w:hint="eastAsia" w:ascii="宋体" w:hAnsi="宋体"/>
          <w:b/>
          <w:szCs w:val="21"/>
          <w:lang w:eastAsia="zh-CN"/>
        </w:rPr>
        <w:t>，</w:t>
      </w:r>
      <w:r>
        <w:rPr>
          <w:rFonts w:hint="eastAsia" w:ascii="宋体" w:hAnsi="宋体"/>
          <w:b/>
          <w:szCs w:val="21"/>
          <w:lang w:val="en-US" w:eastAsia="zh-CN"/>
        </w:rPr>
        <w:t>GBT19001-2016标准8.4.1</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szCs w:val="21"/>
              </w:rPr>
            </w:pPr>
            <w:r>
              <w:rPr>
                <w:rFonts w:hint="eastAsia"/>
                <w:b w:val="0"/>
                <w:bCs/>
                <w:color w:val="000000" w:themeColor="text1"/>
                <w:sz w:val="20"/>
                <w:szCs w:val="20"/>
              </w:rPr>
              <w:t>该公司建立并实施的质量、环境和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具的</w:t>
            </w:r>
            <w:r>
              <w:rPr>
                <w:rFonts w:hint="eastAsia"/>
                <w:b w:val="0"/>
                <w:bCs/>
                <w:color w:val="000000" w:themeColor="text1"/>
                <w:sz w:val="20"/>
                <w:szCs w:val="20"/>
                <w:lang w:val="en-US" w:eastAsia="zh-CN"/>
              </w:rPr>
              <w:t>1</w:t>
            </w:r>
            <w:r>
              <w:rPr>
                <w:rFonts w:hint="eastAsia"/>
                <w:b w:val="0"/>
                <w:bCs/>
                <w:color w:val="000000" w:themeColor="text1"/>
                <w:sz w:val="20"/>
                <w:szCs w:val="20"/>
              </w:rPr>
              <w:t>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drawing>
          <wp:anchor distT="0" distB="0" distL="114300" distR="114300" simplePos="0" relativeHeight="251682816" behindDoc="1" locked="0" layoutInCell="1" allowOverlap="1">
            <wp:simplePos x="0" y="0"/>
            <wp:positionH relativeFrom="column">
              <wp:posOffset>1783080</wp:posOffset>
            </wp:positionH>
            <wp:positionV relativeFrom="paragraph">
              <wp:posOffset>190500</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53" w:firstLineChars="250"/>
        <w:rPr>
          <w:b/>
          <w:sz w:val="21"/>
        </w:rPr>
      </w:pPr>
      <w:r>
        <w:rPr>
          <w:rFonts w:hint="eastAsia"/>
          <w:b/>
          <w:color w:val="000000" w:themeColor="text1"/>
          <w:sz w:val="26"/>
          <w:szCs w:val="26"/>
        </w:rPr>
        <w:drawing>
          <wp:anchor distT="0" distB="0" distL="114300" distR="114300" simplePos="0" relativeHeight="251695104" behindDoc="0" locked="0" layoutInCell="1" allowOverlap="1">
            <wp:simplePos x="0" y="0"/>
            <wp:positionH relativeFrom="column">
              <wp:posOffset>1878330</wp:posOffset>
            </wp:positionH>
            <wp:positionV relativeFrom="paragraph">
              <wp:posOffset>203200</wp:posOffset>
            </wp:positionV>
            <wp:extent cx="700405" cy="403860"/>
            <wp:effectExtent l="0" t="0" r="10795" b="2540"/>
            <wp:wrapSquare wrapText="bothSides"/>
            <wp:docPr id="5" name="图片 5"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fdd8fbb2bd137f321bf27109001bf"/>
                    <pic:cNvPicPr>
                      <a:picLocks noChangeAspect="1"/>
                    </pic:cNvPicPr>
                  </pic:nvPicPr>
                  <pic:blipFill>
                    <a:blip r:embed="rId7" cstate="print"/>
                    <a:stretch>
                      <a:fillRect/>
                    </a:stretch>
                  </pic:blipFill>
                  <pic:spPr>
                    <a:xfrm>
                      <a:off x="0" y="0"/>
                      <a:ext cx="700405" cy="40386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2020.11.11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51694080" behindDoc="1" locked="0" layoutInCell="1" allowOverlap="1">
            <wp:simplePos x="0" y="0"/>
            <wp:positionH relativeFrom="column">
              <wp:posOffset>1428750</wp:posOffset>
            </wp:positionH>
            <wp:positionV relativeFrom="paragraph">
              <wp:posOffset>90170</wp:posOffset>
            </wp:positionV>
            <wp:extent cx="744855" cy="508000"/>
            <wp:effectExtent l="0" t="0" r="4445" b="0"/>
            <wp:wrapTight wrapText="bothSides">
              <wp:wrapPolygon>
                <wp:start x="0" y="0"/>
                <wp:lineTo x="0" y="21060"/>
                <wp:lineTo x="21361" y="21060"/>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759E431"/>
    <w:multiLevelType w:val="singleLevel"/>
    <w:tmpl w:val="6759E431"/>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8D2E0F"/>
    <w:rsid w:val="1E364E51"/>
    <w:rsid w:val="2F530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8</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2020-11-10T02:19:01Z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