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青海西矿物业有限责任公司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03"/>
        <w:gridCol w:w="791"/>
        <w:gridCol w:w="1176"/>
        <w:gridCol w:w="2788"/>
        <w:gridCol w:w="1056"/>
        <w:gridCol w:w="980"/>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val="0"/>
                <w:bCs/>
                <w:sz w:val="21"/>
                <w:szCs w:val="21"/>
              </w:rPr>
            </w:pPr>
            <w:r>
              <w:rPr>
                <w:rFonts w:hint="eastAsia"/>
                <w:b w:val="0"/>
                <w:bCs/>
                <w:sz w:val="21"/>
                <w:szCs w:val="21"/>
              </w:rPr>
              <w:t>审核方名称</w:t>
            </w:r>
          </w:p>
        </w:tc>
        <w:tc>
          <w:tcPr>
            <w:tcW w:w="8275" w:type="dxa"/>
            <w:gridSpan w:val="6"/>
          </w:tcPr>
          <w:p>
            <w:pPr>
              <w:rPr>
                <w:b w:val="0"/>
                <w:bCs/>
                <w:sz w:val="21"/>
                <w:szCs w:val="21"/>
              </w:rPr>
            </w:pPr>
            <w:r>
              <w:rPr>
                <w:rFonts w:hint="eastAsia"/>
                <w:b w:val="0"/>
                <w:bCs/>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val="0"/>
                <w:bCs/>
                <w:sz w:val="21"/>
                <w:szCs w:val="21"/>
              </w:rPr>
            </w:pPr>
            <w:r>
              <w:rPr>
                <w:rFonts w:hint="eastAsia"/>
                <w:b w:val="0"/>
                <w:bCs/>
                <w:sz w:val="21"/>
                <w:szCs w:val="21"/>
              </w:rPr>
              <w:t>审核方地址</w:t>
            </w:r>
          </w:p>
        </w:tc>
        <w:tc>
          <w:tcPr>
            <w:tcW w:w="5811" w:type="dxa"/>
            <w:gridSpan w:val="4"/>
          </w:tcPr>
          <w:p>
            <w:pPr>
              <w:rPr>
                <w:b w:val="0"/>
                <w:bCs/>
                <w:sz w:val="21"/>
                <w:szCs w:val="21"/>
              </w:rPr>
            </w:pPr>
            <w:r>
              <w:rPr>
                <w:rFonts w:hint="eastAsia"/>
                <w:b w:val="0"/>
                <w:bCs/>
                <w:sz w:val="21"/>
                <w:szCs w:val="21"/>
              </w:rPr>
              <w:t>北京市朝阳区北苑路168号1号楼16层1603</w:t>
            </w:r>
          </w:p>
        </w:tc>
        <w:tc>
          <w:tcPr>
            <w:tcW w:w="980" w:type="dxa"/>
          </w:tcPr>
          <w:p>
            <w:pPr>
              <w:rPr>
                <w:b w:val="0"/>
                <w:bCs/>
                <w:sz w:val="21"/>
                <w:szCs w:val="21"/>
              </w:rPr>
            </w:pPr>
            <w:r>
              <w:rPr>
                <w:rFonts w:hint="eastAsia"/>
                <w:b w:val="0"/>
                <w:bCs/>
                <w:sz w:val="21"/>
                <w:szCs w:val="21"/>
              </w:rPr>
              <w:t>邮编</w:t>
            </w:r>
          </w:p>
        </w:tc>
        <w:tc>
          <w:tcPr>
            <w:tcW w:w="1484" w:type="dxa"/>
          </w:tcPr>
          <w:p>
            <w:pPr>
              <w:rPr>
                <w:b w:val="0"/>
                <w:bCs/>
                <w:sz w:val="21"/>
                <w:szCs w:val="21"/>
              </w:rPr>
            </w:pPr>
            <w:r>
              <w:rPr>
                <w:rFonts w:hint="eastAsia"/>
                <w:b w:val="0"/>
                <w:bCs/>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val="0"/>
                <w:bCs/>
                <w:sz w:val="21"/>
                <w:szCs w:val="21"/>
              </w:rPr>
            </w:pPr>
            <w:r>
              <w:rPr>
                <w:rFonts w:hint="eastAsia"/>
                <w:b w:val="0"/>
                <w:bCs/>
                <w:sz w:val="21"/>
                <w:szCs w:val="21"/>
              </w:rPr>
              <w:t>联系电话</w:t>
            </w:r>
          </w:p>
        </w:tc>
        <w:tc>
          <w:tcPr>
            <w:tcW w:w="8275" w:type="dxa"/>
            <w:gridSpan w:val="6"/>
          </w:tcPr>
          <w:p>
            <w:pPr>
              <w:rPr>
                <w:b w:val="0"/>
                <w:bCs/>
                <w:sz w:val="21"/>
                <w:szCs w:val="21"/>
              </w:rPr>
            </w:pPr>
            <w:r>
              <w:rPr>
                <w:b w:val="0"/>
                <w:bCs/>
                <w:sz w:val="21"/>
                <w:szCs w:val="21"/>
              </w:rPr>
              <w:t>010</w:t>
            </w:r>
            <w:r>
              <w:rPr>
                <w:rFonts w:hint="eastAsia"/>
                <w:b w:val="0"/>
                <w:bCs/>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34" w:type="dxa"/>
            <w:gridSpan w:val="8"/>
          </w:tcPr>
          <w:p>
            <w:pPr>
              <w:rPr>
                <w:b w:val="0"/>
                <w:bCs/>
                <w:sz w:val="21"/>
                <w:szCs w:val="21"/>
              </w:rPr>
            </w:pPr>
            <w:r>
              <w:rPr>
                <w:rFonts w:hint="eastAsia"/>
                <w:b w:val="0"/>
                <w:bCs/>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dxa"/>
            <w:vAlign w:val="center"/>
          </w:tcPr>
          <w:p>
            <w:pPr>
              <w:jc w:val="center"/>
              <w:rPr>
                <w:b w:val="0"/>
                <w:bCs/>
                <w:sz w:val="21"/>
                <w:szCs w:val="21"/>
              </w:rPr>
            </w:pPr>
            <w:r>
              <w:rPr>
                <w:rFonts w:hint="eastAsia"/>
                <w:b w:val="0"/>
                <w:bCs/>
                <w:sz w:val="21"/>
                <w:szCs w:val="21"/>
              </w:rPr>
              <w:t>姓名</w:t>
            </w:r>
          </w:p>
        </w:tc>
        <w:tc>
          <w:tcPr>
            <w:tcW w:w="703" w:type="dxa"/>
            <w:vAlign w:val="center"/>
          </w:tcPr>
          <w:p>
            <w:pPr>
              <w:jc w:val="center"/>
              <w:rPr>
                <w:b w:val="0"/>
                <w:bCs/>
                <w:sz w:val="21"/>
                <w:szCs w:val="21"/>
              </w:rPr>
            </w:pPr>
            <w:r>
              <w:rPr>
                <w:rFonts w:hint="eastAsia"/>
                <w:b w:val="0"/>
                <w:bCs/>
                <w:sz w:val="21"/>
                <w:szCs w:val="21"/>
              </w:rPr>
              <w:t>性别</w:t>
            </w:r>
          </w:p>
        </w:tc>
        <w:tc>
          <w:tcPr>
            <w:tcW w:w="791" w:type="dxa"/>
            <w:vAlign w:val="center"/>
          </w:tcPr>
          <w:p>
            <w:pPr>
              <w:jc w:val="center"/>
              <w:rPr>
                <w:b w:val="0"/>
                <w:bCs/>
                <w:sz w:val="21"/>
                <w:szCs w:val="21"/>
              </w:rPr>
            </w:pPr>
            <w:r>
              <w:rPr>
                <w:rFonts w:hint="eastAsia"/>
                <w:b w:val="0"/>
                <w:bCs/>
                <w:sz w:val="21"/>
                <w:szCs w:val="21"/>
              </w:rPr>
              <w:t>职务</w:t>
            </w:r>
          </w:p>
        </w:tc>
        <w:tc>
          <w:tcPr>
            <w:tcW w:w="1176" w:type="dxa"/>
            <w:vAlign w:val="center"/>
          </w:tcPr>
          <w:p>
            <w:pPr>
              <w:jc w:val="center"/>
              <w:rPr>
                <w:b w:val="0"/>
                <w:bCs/>
                <w:sz w:val="21"/>
                <w:szCs w:val="21"/>
              </w:rPr>
            </w:pPr>
            <w:r>
              <w:rPr>
                <w:rFonts w:hint="eastAsia"/>
                <w:b w:val="0"/>
                <w:bCs/>
                <w:sz w:val="21"/>
                <w:szCs w:val="21"/>
              </w:rPr>
              <w:t>注册级别</w:t>
            </w:r>
          </w:p>
        </w:tc>
        <w:tc>
          <w:tcPr>
            <w:tcW w:w="2788" w:type="dxa"/>
            <w:vAlign w:val="center"/>
          </w:tcPr>
          <w:p>
            <w:pPr>
              <w:jc w:val="center"/>
              <w:rPr>
                <w:b w:val="0"/>
                <w:bCs/>
                <w:sz w:val="21"/>
                <w:szCs w:val="21"/>
              </w:rPr>
            </w:pPr>
            <w:r>
              <w:rPr>
                <w:rFonts w:hint="eastAsia"/>
                <w:b w:val="0"/>
                <w:bCs/>
                <w:sz w:val="21"/>
                <w:szCs w:val="21"/>
              </w:rPr>
              <w:t>审核员注册号</w:t>
            </w:r>
          </w:p>
        </w:tc>
        <w:tc>
          <w:tcPr>
            <w:tcW w:w="2036" w:type="dxa"/>
            <w:gridSpan w:val="2"/>
            <w:vAlign w:val="center"/>
          </w:tcPr>
          <w:p>
            <w:pPr>
              <w:jc w:val="center"/>
              <w:rPr>
                <w:b w:val="0"/>
                <w:bCs/>
                <w:sz w:val="21"/>
                <w:szCs w:val="21"/>
              </w:rPr>
            </w:pPr>
            <w:r>
              <w:rPr>
                <w:rFonts w:hint="eastAsia"/>
                <w:b w:val="0"/>
                <w:bCs/>
                <w:sz w:val="21"/>
                <w:szCs w:val="21"/>
              </w:rPr>
              <w:t>专业代码</w:t>
            </w:r>
          </w:p>
        </w:tc>
        <w:tc>
          <w:tcPr>
            <w:tcW w:w="1484" w:type="dxa"/>
            <w:vAlign w:val="center"/>
          </w:tcPr>
          <w:p>
            <w:pPr>
              <w:jc w:val="center"/>
              <w:rPr>
                <w:b w:val="0"/>
                <w:bCs/>
                <w:sz w:val="21"/>
                <w:szCs w:val="21"/>
              </w:rPr>
            </w:pPr>
            <w:r>
              <w:rPr>
                <w:rFonts w:hint="eastAsia"/>
                <w:b w:val="0"/>
                <w:bCs/>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dxa"/>
            <w:vAlign w:val="center"/>
          </w:tcPr>
          <w:p>
            <w:pPr>
              <w:jc w:val="center"/>
              <w:rPr>
                <w:b w:val="0"/>
                <w:bCs/>
                <w:sz w:val="21"/>
                <w:szCs w:val="21"/>
              </w:rPr>
            </w:pPr>
            <w:r>
              <w:rPr>
                <w:b w:val="0"/>
                <w:bCs/>
                <w:sz w:val="21"/>
                <w:szCs w:val="21"/>
              </w:rPr>
              <w:t>周涛</w:t>
            </w:r>
          </w:p>
        </w:tc>
        <w:tc>
          <w:tcPr>
            <w:tcW w:w="703" w:type="dxa"/>
            <w:vAlign w:val="center"/>
          </w:tcPr>
          <w:p>
            <w:pPr>
              <w:jc w:val="center"/>
              <w:rPr>
                <w:b w:val="0"/>
                <w:bCs/>
                <w:sz w:val="21"/>
                <w:szCs w:val="21"/>
              </w:rPr>
            </w:pPr>
            <w:r>
              <w:rPr>
                <w:b w:val="0"/>
                <w:bCs/>
                <w:sz w:val="21"/>
                <w:szCs w:val="21"/>
              </w:rPr>
              <w:t>男</w:t>
            </w:r>
          </w:p>
        </w:tc>
        <w:tc>
          <w:tcPr>
            <w:tcW w:w="791" w:type="dxa"/>
            <w:vAlign w:val="center"/>
          </w:tcPr>
          <w:p>
            <w:pPr>
              <w:jc w:val="center"/>
              <w:rPr>
                <w:b w:val="0"/>
                <w:bCs/>
                <w:sz w:val="21"/>
                <w:szCs w:val="21"/>
              </w:rPr>
            </w:pPr>
            <w:r>
              <w:rPr>
                <w:b w:val="0"/>
                <w:bCs/>
                <w:sz w:val="21"/>
                <w:szCs w:val="21"/>
              </w:rPr>
              <w:t>组长</w:t>
            </w:r>
          </w:p>
        </w:tc>
        <w:tc>
          <w:tcPr>
            <w:tcW w:w="1176" w:type="dxa"/>
            <w:vAlign w:val="center"/>
          </w:tcPr>
          <w:p>
            <w:pPr>
              <w:jc w:val="center"/>
              <w:rPr>
                <w:b w:val="0"/>
                <w:bCs/>
                <w:sz w:val="21"/>
                <w:szCs w:val="21"/>
              </w:rPr>
            </w:pPr>
            <w:r>
              <w:rPr>
                <w:b w:val="0"/>
                <w:bCs/>
                <w:sz w:val="21"/>
                <w:szCs w:val="21"/>
              </w:rPr>
              <w:t>O:审核员</w:t>
            </w:r>
          </w:p>
          <w:p>
            <w:pPr>
              <w:jc w:val="center"/>
              <w:rPr>
                <w:b w:val="0"/>
                <w:bCs/>
                <w:sz w:val="21"/>
                <w:szCs w:val="21"/>
              </w:rPr>
            </w:pPr>
            <w:r>
              <w:rPr>
                <w:b w:val="0"/>
                <w:bCs/>
                <w:sz w:val="21"/>
                <w:szCs w:val="21"/>
              </w:rPr>
              <w:t>Q:审核员</w:t>
            </w:r>
          </w:p>
          <w:p>
            <w:pPr>
              <w:jc w:val="center"/>
              <w:rPr>
                <w:b w:val="0"/>
                <w:bCs/>
                <w:sz w:val="21"/>
                <w:szCs w:val="21"/>
              </w:rPr>
            </w:pPr>
            <w:r>
              <w:rPr>
                <w:b w:val="0"/>
                <w:bCs/>
                <w:sz w:val="21"/>
                <w:szCs w:val="21"/>
              </w:rPr>
              <w:t>E:审核员</w:t>
            </w:r>
          </w:p>
        </w:tc>
        <w:tc>
          <w:tcPr>
            <w:tcW w:w="2788" w:type="dxa"/>
            <w:vAlign w:val="center"/>
          </w:tcPr>
          <w:p>
            <w:pPr>
              <w:jc w:val="center"/>
              <w:rPr>
                <w:b w:val="0"/>
                <w:bCs/>
                <w:sz w:val="21"/>
                <w:szCs w:val="21"/>
              </w:rPr>
            </w:pPr>
            <w:r>
              <w:rPr>
                <w:b w:val="0"/>
                <w:bCs/>
                <w:sz w:val="21"/>
                <w:szCs w:val="21"/>
              </w:rPr>
              <w:t>2018-N1OHSMS-2072033</w:t>
            </w:r>
          </w:p>
          <w:p>
            <w:pPr>
              <w:jc w:val="center"/>
              <w:rPr>
                <w:b w:val="0"/>
                <w:bCs/>
                <w:sz w:val="21"/>
                <w:szCs w:val="21"/>
              </w:rPr>
            </w:pPr>
            <w:r>
              <w:rPr>
                <w:b w:val="0"/>
                <w:bCs/>
                <w:sz w:val="21"/>
                <w:szCs w:val="21"/>
              </w:rPr>
              <w:t>2019-N1QMS-3072033</w:t>
            </w:r>
          </w:p>
          <w:p>
            <w:pPr>
              <w:jc w:val="center"/>
              <w:rPr>
                <w:b w:val="0"/>
                <w:bCs/>
                <w:sz w:val="21"/>
                <w:szCs w:val="21"/>
              </w:rPr>
            </w:pPr>
            <w:r>
              <w:rPr>
                <w:b w:val="0"/>
                <w:bCs/>
                <w:sz w:val="21"/>
                <w:szCs w:val="21"/>
              </w:rPr>
              <w:t>2018-N1EMS-2072033</w:t>
            </w:r>
          </w:p>
        </w:tc>
        <w:tc>
          <w:tcPr>
            <w:tcW w:w="2036" w:type="dxa"/>
            <w:gridSpan w:val="2"/>
            <w:vAlign w:val="center"/>
          </w:tcPr>
          <w:p>
            <w:pPr>
              <w:jc w:val="center"/>
              <w:rPr>
                <w:b w:val="0"/>
                <w:bCs/>
                <w:sz w:val="21"/>
                <w:szCs w:val="21"/>
              </w:rPr>
            </w:pPr>
            <w:r>
              <w:rPr>
                <w:b w:val="0"/>
                <w:bCs/>
                <w:sz w:val="21"/>
                <w:szCs w:val="21"/>
              </w:rPr>
              <w:t>O:30.05.00,35.15.00</w:t>
            </w:r>
          </w:p>
          <w:p>
            <w:pPr>
              <w:jc w:val="center"/>
              <w:rPr>
                <w:b w:val="0"/>
                <w:bCs/>
                <w:sz w:val="21"/>
                <w:szCs w:val="21"/>
              </w:rPr>
            </w:pPr>
            <w:r>
              <w:rPr>
                <w:b w:val="0"/>
                <w:bCs/>
                <w:sz w:val="21"/>
                <w:szCs w:val="21"/>
              </w:rPr>
              <w:t>E:30.05.00,35.15.00</w:t>
            </w:r>
          </w:p>
        </w:tc>
        <w:tc>
          <w:tcPr>
            <w:tcW w:w="1484" w:type="dxa"/>
            <w:vAlign w:val="center"/>
          </w:tcPr>
          <w:p>
            <w:pPr>
              <w:jc w:val="center"/>
              <w:rPr>
                <w:b w:val="0"/>
                <w:bCs/>
                <w:sz w:val="21"/>
                <w:szCs w:val="21"/>
              </w:rPr>
            </w:pPr>
            <w:r>
              <w:rPr>
                <w:b w:val="0"/>
                <w:bCs/>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6" w:type="dxa"/>
            <w:vAlign w:val="center"/>
          </w:tcPr>
          <w:p>
            <w:pPr>
              <w:jc w:val="center"/>
              <w:rPr>
                <w:b w:val="0"/>
                <w:bCs/>
                <w:sz w:val="21"/>
                <w:szCs w:val="21"/>
              </w:rPr>
            </w:pPr>
            <w:r>
              <w:rPr>
                <w:b w:val="0"/>
                <w:bCs/>
                <w:sz w:val="21"/>
                <w:szCs w:val="21"/>
              </w:rPr>
              <w:t>马啟明</w:t>
            </w:r>
          </w:p>
        </w:tc>
        <w:tc>
          <w:tcPr>
            <w:tcW w:w="703" w:type="dxa"/>
            <w:vAlign w:val="center"/>
          </w:tcPr>
          <w:p>
            <w:pPr>
              <w:jc w:val="center"/>
              <w:rPr>
                <w:b w:val="0"/>
                <w:bCs/>
                <w:sz w:val="21"/>
                <w:szCs w:val="21"/>
              </w:rPr>
            </w:pPr>
            <w:r>
              <w:rPr>
                <w:b w:val="0"/>
                <w:bCs/>
                <w:sz w:val="21"/>
                <w:szCs w:val="21"/>
              </w:rPr>
              <w:t>男</w:t>
            </w:r>
          </w:p>
        </w:tc>
        <w:tc>
          <w:tcPr>
            <w:tcW w:w="791" w:type="dxa"/>
            <w:vAlign w:val="center"/>
          </w:tcPr>
          <w:p>
            <w:pPr>
              <w:jc w:val="center"/>
              <w:rPr>
                <w:b w:val="0"/>
                <w:bCs/>
                <w:sz w:val="21"/>
                <w:szCs w:val="21"/>
              </w:rPr>
            </w:pPr>
            <w:r>
              <w:rPr>
                <w:b w:val="0"/>
                <w:bCs/>
                <w:sz w:val="21"/>
                <w:szCs w:val="21"/>
              </w:rPr>
              <w:t>组员</w:t>
            </w:r>
          </w:p>
        </w:tc>
        <w:tc>
          <w:tcPr>
            <w:tcW w:w="1176" w:type="dxa"/>
            <w:vAlign w:val="center"/>
          </w:tcPr>
          <w:p>
            <w:pPr>
              <w:jc w:val="center"/>
              <w:rPr>
                <w:b w:val="0"/>
                <w:bCs/>
                <w:sz w:val="21"/>
                <w:szCs w:val="21"/>
              </w:rPr>
            </w:pPr>
            <w:r>
              <w:rPr>
                <w:b w:val="0"/>
                <w:bCs/>
                <w:sz w:val="21"/>
                <w:szCs w:val="21"/>
              </w:rPr>
              <w:t>O:专家</w:t>
            </w:r>
          </w:p>
          <w:p>
            <w:pPr>
              <w:jc w:val="center"/>
              <w:rPr>
                <w:b w:val="0"/>
                <w:bCs/>
                <w:sz w:val="21"/>
                <w:szCs w:val="21"/>
              </w:rPr>
            </w:pPr>
            <w:r>
              <w:rPr>
                <w:b w:val="0"/>
                <w:bCs/>
                <w:sz w:val="21"/>
                <w:szCs w:val="21"/>
              </w:rPr>
              <w:t>Q:专家</w:t>
            </w:r>
          </w:p>
          <w:p>
            <w:pPr>
              <w:jc w:val="center"/>
              <w:rPr>
                <w:b w:val="0"/>
                <w:bCs/>
                <w:sz w:val="21"/>
                <w:szCs w:val="21"/>
              </w:rPr>
            </w:pPr>
            <w:r>
              <w:rPr>
                <w:b w:val="0"/>
                <w:bCs/>
                <w:sz w:val="21"/>
                <w:szCs w:val="21"/>
              </w:rPr>
              <w:t>E:专家</w:t>
            </w:r>
          </w:p>
          <w:p>
            <w:pPr>
              <w:jc w:val="center"/>
              <w:rPr>
                <w:b w:val="0"/>
                <w:bCs/>
                <w:sz w:val="21"/>
                <w:szCs w:val="21"/>
              </w:rPr>
            </w:pPr>
          </w:p>
        </w:tc>
        <w:tc>
          <w:tcPr>
            <w:tcW w:w="2788" w:type="dxa"/>
            <w:vAlign w:val="center"/>
          </w:tcPr>
          <w:p>
            <w:pPr>
              <w:jc w:val="center"/>
              <w:rPr>
                <w:b w:val="0"/>
                <w:bCs/>
                <w:sz w:val="21"/>
                <w:szCs w:val="21"/>
              </w:rPr>
            </w:pPr>
            <w:r>
              <w:rPr>
                <w:b w:val="0"/>
                <w:bCs/>
                <w:sz w:val="21"/>
                <w:szCs w:val="21"/>
              </w:rPr>
              <w:t>ISC-JSZJ-187</w:t>
            </w:r>
          </w:p>
          <w:p>
            <w:pPr>
              <w:jc w:val="center"/>
              <w:rPr>
                <w:b w:val="0"/>
                <w:bCs/>
                <w:sz w:val="21"/>
                <w:szCs w:val="21"/>
              </w:rPr>
            </w:pPr>
            <w:r>
              <w:rPr>
                <w:b w:val="0"/>
                <w:bCs/>
                <w:sz w:val="21"/>
                <w:szCs w:val="21"/>
              </w:rPr>
              <w:t>ISC-JSZJ-187</w:t>
            </w:r>
          </w:p>
          <w:p>
            <w:pPr>
              <w:jc w:val="center"/>
              <w:rPr>
                <w:b w:val="0"/>
                <w:bCs/>
                <w:sz w:val="21"/>
                <w:szCs w:val="21"/>
              </w:rPr>
            </w:pPr>
            <w:r>
              <w:rPr>
                <w:b w:val="0"/>
                <w:bCs/>
                <w:sz w:val="21"/>
                <w:szCs w:val="21"/>
              </w:rPr>
              <w:t>ISC-JSZJ-187</w:t>
            </w:r>
          </w:p>
          <w:p>
            <w:pPr>
              <w:jc w:val="center"/>
              <w:rPr>
                <w:b w:val="0"/>
                <w:bCs/>
                <w:sz w:val="21"/>
                <w:szCs w:val="21"/>
              </w:rPr>
            </w:pPr>
            <w:r>
              <w:rPr>
                <w:b w:val="0"/>
                <w:bCs/>
                <w:sz w:val="21"/>
                <w:szCs w:val="21"/>
              </w:rPr>
              <w:t>西部矿业集团科技发展有限公司</w:t>
            </w:r>
          </w:p>
        </w:tc>
        <w:tc>
          <w:tcPr>
            <w:tcW w:w="2036" w:type="dxa"/>
            <w:gridSpan w:val="2"/>
            <w:vAlign w:val="center"/>
          </w:tcPr>
          <w:p>
            <w:pPr>
              <w:jc w:val="center"/>
              <w:rPr>
                <w:b w:val="0"/>
                <w:bCs/>
                <w:sz w:val="21"/>
                <w:szCs w:val="21"/>
              </w:rPr>
            </w:pPr>
            <w:r>
              <w:rPr>
                <w:b w:val="0"/>
                <w:bCs/>
                <w:sz w:val="21"/>
                <w:szCs w:val="21"/>
              </w:rPr>
              <w:t>O:30.05.00</w:t>
            </w:r>
          </w:p>
          <w:p>
            <w:pPr>
              <w:jc w:val="center"/>
              <w:rPr>
                <w:b w:val="0"/>
                <w:bCs/>
                <w:sz w:val="21"/>
                <w:szCs w:val="21"/>
              </w:rPr>
            </w:pPr>
            <w:r>
              <w:rPr>
                <w:b w:val="0"/>
                <w:bCs/>
                <w:sz w:val="21"/>
                <w:szCs w:val="21"/>
              </w:rPr>
              <w:t>Q:30.05.00</w:t>
            </w:r>
          </w:p>
          <w:p>
            <w:pPr>
              <w:jc w:val="center"/>
              <w:rPr>
                <w:b w:val="0"/>
                <w:bCs/>
                <w:sz w:val="21"/>
                <w:szCs w:val="21"/>
              </w:rPr>
            </w:pPr>
            <w:r>
              <w:rPr>
                <w:b w:val="0"/>
                <w:bCs/>
                <w:sz w:val="21"/>
                <w:szCs w:val="21"/>
              </w:rPr>
              <w:t>E:30.05.00</w:t>
            </w:r>
          </w:p>
        </w:tc>
        <w:tc>
          <w:tcPr>
            <w:tcW w:w="1484" w:type="dxa"/>
            <w:vAlign w:val="center"/>
          </w:tcPr>
          <w:p>
            <w:pPr>
              <w:jc w:val="center"/>
              <w:rPr>
                <w:b w:val="0"/>
                <w:bCs/>
                <w:sz w:val="21"/>
                <w:szCs w:val="21"/>
              </w:rPr>
            </w:pPr>
            <w:r>
              <w:rPr>
                <w:b w:val="0"/>
                <w:bCs/>
                <w:sz w:val="21"/>
                <w:szCs w:val="21"/>
              </w:rPr>
              <w:t>ISC-JSZJ-187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6" w:type="dxa"/>
            <w:vAlign w:val="center"/>
          </w:tcPr>
          <w:p>
            <w:pPr>
              <w:jc w:val="center"/>
              <w:rPr>
                <w:b w:val="0"/>
                <w:bCs/>
                <w:sz w:val="21"/>
                <w:szCs w:val="21"/>
              </w:rPr>
            </w:pPr>
            <w:r>
              <w:rPr>
                <w:b w:val="0"/>
                <w:bCs/>
                <w:sz w:val="21"/>
                <w:szCs w:val="21"/>
              </w:rPr>
              <w:t>安涛</w:t>
            </w:r>
          </w:p>
        </w:tc>
        <w:tc>
          <w:tcPr>
            <w:tcW w:w="703" w:type="dxa"/>
            <w:vAlign w:val="center"/>
          </w:tcPr>
          <w:p>
            <w:pPr>
              <w:jc w:val="center"/>
              <w:rPr>
                <w:b w:val="0"/>
                <w:bCs/>
                <w:sz w:val="21"/>
                <w:szCs w:val="21"/>
              </w:rPr>
            </w:pPr>
            <w:r>
              <w:rPr>
                <w:b w:val="0"/>
                <w:bCs/>
                <w:sz w:val="21"/>
                <w:szCs w:val="21"/>
              </w:rPr>
              <w:t>男</w:t>
            </w:r>
          </w:p>
        </w:tc>
        <w:tc>
          <w:tcPr>
            <w:tcW w:w="791" w:type="dxa"/>
            <w:vAlign w:val="center"/>
          </w:tcPr>
          <w:p>
            <w:pPr>
              <w:jc w:val="center"/>
              <w:rPr>
                <w:b w:val="0"/>
                <w:bCs/>
                <w:sz w:val="21"/>
                <w:szCs w:val="21"/>
              </w:rPr>
            </w:pPr>
            <w:r>
              <w:rPr>
                <w:b w:val="0"/>
                <w:bCs/>
                <w:sz w:val="21"/>
                <w:szCs w:val="21"/>
              </w:rPr>
              <w:t>组员</w:t>
            </w:r>
          </w:p>
        </w:tc>
        <w:tc>
          <w:tcPr>
            <w:tcW w:w="1176" w:type="dxa"/>
            <w:vAlign w:val="center"/>
          </w:tcPr>
          <w:p>
            <w:pPr>
              <w:jc w:val="center"/>
              <w:rPr>
                <w:b w:val="0"/>
                <w:bCs/>
                <w:sz w:val="21"/>
                <w:szCs w:val="21"/>
              </w:rPr>
            </w:pPr>
            <w:r>
              <w:rPr>
                <w:b w:val="0"/>
                <w:bCs/>
                <w:sz w:val="21"/>
                <w:szCs w:val="21"/>
              </w:rPr>
              <w:t>O:专家</w:t>
            </w:r>
          </w:p>
          <w:p>
            <w:pPr>
              <w:jc w:val="center"/>
              <w:rPr>
                <w:b w:val="0"/>
                <w:bCs/>
                <w:sz w:val="21"/>
                <w:szCs w:val="21"/>
              </w:rPr>
            </w:pPr>
            <w:r>
              <w:rPr>
                <w:b w:val="0"/>
                <w:bCs/>
                <w:sz w:val="21"/>
                <w:szCs w:val="21"/>
              </w:rPr>
              <w:t>Q:审核员</w:t>
            </w:r>
          </w:p>
          <w:p>
            <w:pPr>
              <w:jc w:val="center"/>
              <w:rPr>
                <w:b w:val="0"/>
                <w:bCs/>
                <w:sz w:val="21"/>
                <w:szCs w:val="21"/>
              </w:rPr>
            </w:pPr>
            <w:r>
              <w:rPr>
                <w:b w:val="0"/>
                <w:bCs/>
                <w:sz w:val="21"/>
                <w:szCs w:val="21"/>
              </w:rPr>
              <w:t>E:专家</w:t>
            </w:r>
          </w:p>
          <w:p>
            <w:pPr>
              <w:jc w:val="center"/>
              <w:rPr>
                <w:b w:val="0"/>
                <w:bCs/>
                <w:sz w:val="21"/>
                <w:szCs w:val="21"/>
              </w:rPr>
            </w:pPr>
          </w:p>
        </w:tc>
        <w:tc>
          <w:tcPr>
            <w:tcW w:w="2788" w:type="dxa"/>
            <w:vAlign w:val="center"/>
          </w:tcPr>
          <w:p>
            <w:pPr>
              <w:jc w:val="center"/>
              <w:rPr>
                <w:b w:val="0"/>
                <w:bCs/>
                <w:sz w:val="21"/>
                <w:szCs w:val="21"/>
              </w:rPr>
            </w:pPr>
            <w:r>
              <w:rPr>
                <w:b w:val="0"/>
                <w:bCs/>
                <w:sz w:val="21"/>
                <w:szCs w:val="21"/>
              </w:rPr>
              <w:t>2017-N1QMS-1211720</w:t>
            </w:r>
          </w:p>
          <w:p>
            <w:pPr>
              <w:jc w:val="center"/>
              <w:rPr>
                <w:b w:val="0"/>
                <w:bCs/>
                <w:sz w:val="21"/>
                <w:szCs w:val="21"/>
              </w:rPr>
            </w:pPr>
            <w:r>
              <w:rPr>
                <w:b w:val="0"/>
                <w:bCs/>
                <w:sz w:val="21"/>
                <w:szCs w:val="21"/>
              </w:rPr>
              <w:t>甘肃卓远品牌咨询管理有限公司</w:t>
            </w:r>
          </w:p>
        </w:tc>
        <w:tc>
          <w:tcPr>
            <w:tcW w:w="2036" w:type="dxa"/>
            <w:gridSpan w:val="2"/>
            <w:vAlign w:val="center"/>
          </w:tcPr>
          <w:p>
            <w:pPr>
              <w:jc w:val="center"/>
              <w:rPr>
                <w:b w:val="0"/>
                <w:bCs/>
                <w:sz w:val="21"/>
                <w:szCs w:val="21"/>
              </w:rPr>
            </w:pPr>
            <w:r>
              <w:rPr>
                <w:b w:val="0"/>
                <w:bCs/>
                <w:sz w:val="21"/>
                <w:szCs w:val="21"/>
              </w:rPr>
              <w:t>O:35.15.00</w:t>
            </w:r>
          </w:p>
          <w:p>
            <w:pPr>
              <w:jc w:val="center"/>
              <w:rPr>
                <w:b w:val="0"/>
                <w:bCs/>
                <w:sz w:val="21"/>
                <w:szCs w:val="21"/>
              </w:rPr>
            </w:pPr>
            <w:r>
              <w:rPr>
                <w:b w:val="0"/>
                <w:bCs/>
                <w:sz w:val="21"/>
                <w:szCs w:val="21"/>
              </w:rPr>
              <w:t>Q:35.15.00</w:t>
            </w:r>
          </w:p>
          <w:p>
            <w:pPr>
              <w:jc w:val="center"/>
              <w:rPr>
                <w:b w:val="0"/>
                <w:bCs/>
                <w:sz w:val="21"/>
                <w:szCs w:val="21"/>
              </w:rPr>
            </w:pPr>
            <w:r>
              <w:rPr>
                <w:b w:val="0"/>
                <w:bCs/>
                <w:sz w:val="21"/>
                <w:szCs w:val="21"/>
              </w:rPr>
              <w:t>E:35.15.00</w:t>
            </w:r>
          </w:p>
        </w:tc>
        <w:tc>
          <w:tcPr>
            <w:tcW w:w="1484" w:type="dxa"/>
            <w:vAlign w:val="center"/>
          </w:tcPr>
          <w:p>
            <w:pPr>
              <w:jc w:val="center"/>
              <w:rPr>
                <w:b w:val="0"/>
                <w:bCs/>
                <w:sz w:val="21"/>
                <w:szCs w:val="21"/>
              </w:rPr>
            </w:pPr>
            <w:r>
              <w:rPr>
                <w:b w:val="0"/>
                <w:bCs/>
                <w:sz w:val="21"/>
                <w:szCs w:val="21"/>
              </w:rPr>
              <w:t>ISC-211720</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lang w:eastAsia="zh-CN"/>
        </w:rPr>
        <w:t>□</w:t>
      </w:r>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592"/>
        <w:gridCol w:w="517"/>
        <w:gridCol w:w="648"/>
        <w:gridCol w:w="961"/>
        <w:gridCol w:w="9"/>
        <w:gridCol w:w="383"/>
        <w:gridCol w:w="1289"/>
        <w:gridCol w:w="5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6"/>
          </w:tcPr>
          <w:p>
            <w:pPr>
              <w:spacing w:line="260" w:lineRule="exact"/>
              <w:rPr>
                <w:rFonts w:ascii="宋体"/>
                <w:b/>
                <w:color w:val="FF0000"/>
                <w:sz w:val="21"/>
              </w:rPr>
            </w:pPr>
            <w:bookmarkStart w:id="10" w:name="组织名称Add"/>
            <w:r>
              <w:rPr>
                <w:rFonts w:ascii="宋体"/>
                <w:b/>
                <w:color w:val="FF0000"/>
                <w:sz w:val="21"/>
              </w:rPr>
              <w:t>青海西矿物业有限责任公司</w:t>
            </w:r>
            <w:bookmarkEnd w:id="10"/>
          </w:p>
        </w:tc>
        <w:tc>
          <w:tcPr>
            <w:tcW w:w="1672"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gridSpan w:val="2"/>
            <w:vAlign w:val="center"/>
          </w:tcPr>
          <w:p>
            <w:pPr>
              <w:spacing w:line="260" w:lineRule="exact"/>
              <w:jc w:val="center"/>
              <w:rPr>
                <w:rFonts w:ascii="宋体"/>
                <w:b/>
                <w:sz w:val="21"/>
              </w:rPr>
            </w:pPr>
            <w:bookmarkStart w:id="11" w:name="企业人数"/>
            <w:r>
              <w:rPr>
                <w:rFonts w:ascii="宋体" w:hAnsi="宋体"/>
                <w:b/>
                <w:color w:val="000000" w:themeColor="text1"/>
                <w:sz w:val="20"/>
                <w:szCs w:val="20"/>
              </w:rPr>
              <w:t>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6"/>
          </w:tcPr>
          <w:p>
            <w:pPr>
              <w:rPr>
                <w:rFonts w:ascii="宋体"/>
                <w:b/>
                <w:sz w:val="21"/>
              </w:rPr>
            </w:pPr>
            <w:bookmarkStart w:id="12" w:name="注册地址"/>
            <w:r>
              <w:rPr>
                <w:rFonts w:ascii="宋体"/>
                <w:b/>
                <w:sz w:val="21"/>
              </w:rPr>
              <w:t>青海省西宁市城北区祁连路912号</w:t>
            </w:r>
            <w:bookmarkEnd w:id="12"/>
          </w:p>
        </w:tc>
        <w:tc>
          <w:tcPr>
            <w:tcW w:w="1672" w:type="dxa"/>
            <w:gridSpan w:val="2"/>
            <w:vMerge w:val="restart"/>
            <w:vAlign w:val="center"/>
          </w:tcPr>
          <w:p>
            <w:pPr>
              <w:jc w:val="center"/>
              <w:rPr>
                <w:rFonts w:ascii="宋体"/>
                <w:b/>
                <w:sz w:val="21"/>
              </w:rPr>
            </w:pPr>
            <w:r>
              <w:rPr>
                <w:rFonts w:hint="eastAsia" w:ascii="宋体" w:hAnsi="宋体"/>
                <w:b/>
                <w:sz w:val="21"/>
              </w:rPr>
              <w:t>邮编</w:t>
            </w:r>
          </w:p>
        </w:tc>
        <w:tc>
          <w:tcPr>
            <w:tcW w:w="1500" w:type="dxa"/>
            <w:gridSpan w:val="2"/>
          </w:tcPr>
          <w:p>
            <w:pPr>
              <w:rPr>
                <w:rFonts w:ascii="宋体"/>
                <w:b/>
                <w:sz w:val="21"/>
              </w:rPr>
            </w:pPr>
            <w:bookmarkStart w:id="13" w:name="注册邮编"/>
            <w:r>
              <w:rPr>
                <w:rFonts w:ascii="宋体"/>
                <w:b/>
                <w:sz w:val="21"/>
              </w:rPr>
              <w:t>810000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6"/>
          </w:tcPr>
          <w:p>
            <w:pPr>
              <w:rPr>
                <w:rFonts w:ascii="宋体"/>
                <w:b/>
                <w:sz w:val="21"/>
              </w:rPr>
            </w:pPr>
            <w:bookmarkStart w:id="14" w:name="办公地址"/>
            <w:r>
              <w:rPr>
                <w:rFonts w:ascii="宋体"/>
                <w:b/>
                <w:sz w:val="21"/>
              </w:rPr>
              <w:t>青海省西宁市城北区祁连路912号</w:t>
            </w:r>
            <w:bookmarkEnd w:id="14"/>
          </w:p>
        </w:tc>
        <w:tc>
          <w:tcPr>
            <w:tcW w:w="1672" w:type="dxa"/>
            <w:gridSpan w:val="2"/>
            <w:vMerge w:val="continue"/>
            <w:vAlign w:val="center"/>
          </w:tcPr>
          <w:p>
            <w:pPr>
              <w:jc w:val="center"/>
              <w:rPr>
                <w:rFonts w:ascii="宋体"/>
                <w:b/>
                <w:sz w:val="21"/>
              </w:rPr>
            </w:pPr>
          </w:p>
        </w:tc>
        <w:tc>
          <w:tcPr>
            <w:tcW w:w="1500" w:type="dxa"/>
            <w:gridSpan w:val="2"/>
          </w:tcPr>
          <w:p>
            <w:pPr>
              <w:rPr>
                <w:rFonts w:ascii="宋体"/>
                <w:b/>
                <w:sz w:val="21"/>
              </w:rPr>
            </w:pPr>
            <w:bookmarkStart w:id="15" w:name="办公邮编"/>
            <w:r>
              <w:rPr>
                <w:rFonts w:ascii="宋体"/>
                <w:b/>
                <w:sz w:val="21"/>
              </w:rPr>
              <w:t>810000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6"/>
          </w:tcPr>
          <w:p>
            <w:pPr>
              <w:rPr>
                <w:rFonts w:ascii="宋体"/>
                <w:b/>
                <w:sz w:val="21"/>
              </w:rPr>
            </w:pPr>
            <w:bookmarkStart w:id="16" w:name="生产地址Add"/>
            <w:r>
              <w:rPr>
                <w:rFonts w:ascii="宋体"/>
                <w:b/>
                <w:sz w:val="21"/>
              </w:rPr>
              <w:t>青海省西宁市城北区祁连路912号</w:t>
            </w:r>
            <w:bookmarkEnd w:id="16"/>
          </w:p>
        </w:tc>
        <w:tc>
          <w:tcPr>
            <w:tcW w:w="1672" w:type="dxa"/>
            <w:gridSpan w:val="2"/>
            <w:vMerge w:val="continue"/>
            <w:vAlign w:val="center"/>
          </w:tcPr>
          <w:p>
            <w:pPr>
              <w:jc w:val="center"/>
              <w:rPr>
                <w:rFonts w:ascii="宋体"/>
                <w:b/>
                <w:sz w:val="21"/>
              </w:rPr>
            </w:pPr>
          </w:p>
        </w:tc>
        <w:tc>
          <w:tcPr>
            <w:tcW w:w="1500" w:type="dxa"/>
            <w:gridSpan w:val="2"/>
          </w:tcPr>
          <w:p>
            <w:pPr>
              <w:rPr>
                <w:rFonts w:ascii="宋体"/>
                <w:b/>
                <w:sz w:val="21"/>
              </w:rPr>
            </w:pPr>
            <w:bookmarkStart w:id="17" w:name="生产邮编"/>
            <w:r>
              <w:rPr>
                <w:rFonts w:ascii="宋体"/>
                <w:b/>
                <w:sz w:val="21"/>
              </w:rPr>
              <w:t>810000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黄蓉</w:t>
            </w:r>
            <w:bookmarkEnd w:id="18"/>
          </w:p>
        </w:tc>
        <w:tc>
          <w:tcPr>
            <w:tcW w:w="1109" w:type="dxa"/>
            <w:gridSpan w:val="2"/>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3"/>
            <w:vAlign w:val="center"/>
          </w:tcPr>
          <w:p>
            <w:pPr>
              <w:jc w:val="center"/>
              <w:rPr>
                <w:rFonts w:ascii="宋体"/>
                <w:b/>
                <w:sz w:val="21"/>
              </w:rPr>
            </w:pPr>
            <w:bookmarkStart w:id="19" w:name="联系人电话Add"/>
            <w:r>
              <w:rPr>
                <w:rFonts w:ascii="宋体"/>
                <w:b/>
                <w:sz w:val="21"/>
              </w:rPr>
              <w:t>13997099973</w:t>
            </w:r>
            <w:bookmarkEnd w:id="19"/>
          </w:p>
        </w:tc>
        <w:tc>
          <w:tcPr>
            <w:tcW w:w="1672" w:type="dxa"/>
            <w:gridSpan w:val="2"/>
            <w:vAlign w:val="center"/>
          </w:tcPr>
          <w:p>
            <w:pPr>
              <w:jc w:val="center"/>
              <w:rPr>
                <w:rFonts w:ascii="宋体"/>
                <w:b/>
                <w:sz w:val="21"/>
              </w:rPr>
            </w:pPr>
            <w:r>
              <w:rPr>
                <w:rFonts w:hint="eastAsia" w:ascii="宋体" w:hAnsi="宋体"/>
                <w:b/>
                <w:sz w:val="21"/>
              </w:rPr>
              <w:t>传真</w:t>
            </w:r>
          </w:p>
        </w:tc>
        <w:tc>
          <w:tcPr>
            <w:tcW w:w="1500" w:type="dxa"/>
            <w:gridSpan w:val="2"/>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hAnsi="宋体"/>
                <w:b/>
                <w:sz w:val="21"/>
                <w:szCs w:val="21"/>
              </w:rPr>
            </w:pPr>
            <w:bookmarkStart w:id="21" w:name="法人"/>
            <w:r>
              <w:rPr>
                <w:rFonts w:ascii="宋体" w:hAnsi="宋体"/>
                <w:b/>
                <w:sz w:val="21"/>
                <w:szCs w:val="21"/>
              </w:rPr>
              <w:t>谢林兴</w:t>
            </w:r>
            <w:bookmarkEnd w:id="21"/>
          </w:p>
        </w:tc>
        <w:tc>
          <w:tcPr>
            <w:tcW w:w="1109" w:type="dxa"/>
            <w:gridSpan w:val="2"/>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3"/>
            <w:vAlign w:val="center"/>
          </w:tcPr>
          <w:p>
            <w:pPr>
              <w:jc w:val="center"/>
              <w:rPr>
                <w:rFonts w:hint="eastAsia" w:ascii="宋体" w:hAnsi="宋体" w:eastAsia="宋体"/>
                <w:b/>
                <w:sz w:val="21"/>
                <w:szCs w:val="21"/>
                <w:lang w:val="en-US" w:eastAsia="zh-CN"/>
              </w:rPr>
            </w:pPr>
            <w:r>
              <w:rPr>
                <w:rFonts w:hint="eastAsia" w:ascii="宋体" w:hAnsi="宋体"/>
                <w:b/>
                <w:sz w:val="21"/>
                <w:szCs w:val="21"/>
                <w:lang w:val="en-US" w:eastAsia="zh-CN"/>
              </w:rPr>
              <w:t>秦海斌</w:t>
            </w:r>
          </w:p>
        </w:tc>
        <w:tc>
          <w:tcPr>
            <w:tcW w:w="1672"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500" w:type="dxa"/>
            <w:gridSpan w:val="2"/>
            <w:vAlign w:val="center"/>
          </w:tcPr>
          <w:p>
            <w:pPr>
              <w:jc w:val="center"/>
              <w:rPr>
                <w:rFonts w:ascii="宋体"/>
                <w:b/>
                <w:sz w:val="21"/>
              </w:rPr>
            </w:pPr>
            <w:bookmarkStart w:id="22" w:name="管理者代表"/>
            <w:r>
              <w:rPr>
                <w:rFonts w:ascii="宋体"/>
                <w:b/>
                <w:sz w:val="21"/>
              </w:rPr>
              <w:t>付利海</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3"/>
            <w:vAlign w:val="center"/>
          </w:tcPr>
          <w:p>
            <w:pPr>
              <w:rPr>
                <w:rFonts w:ascii="宋体" w:hAnsi="宋体"/>
                <w:b/>
                <w:sz w:val="21"/>
                <w:szCs w:val="21"/>
              </w:rPr>
            </w:pPr>
            <w:bookmarkStart w:id="23" w:name="审核日期"/>
            <w:r>
              <w:rPr>
                <w:rFonts w:ascii="宋体" w:hAnsi="宋体"/>
                <w:b/>
                <w:sz w:val="21"/>
                <w:szCs w:val="21"/>
              </w:rPr>
              <w:t>2020年11月05日 上午至2020年11月07日 下午</w:t>
            </w:r>
            <w:bookmarkEnd w:id="23"/>
          </w:p>
        </w:tc>
        <w:tc>
          <w:tcPr>
            <w:tcW w:w="1609" w:type="dxa"/>
            <w:gridSpan w:val="2"/>
            <w:vAlign w:val="center"/>
          </w:tcPr>
          <w:p>
            <w:pPr>
              <w:rPr>
                <w:rFonts w:ascii="宋体" w:hAnsi="宋体"/>
                <w:b/>
                <w:sz w:val="21"/>
                <w:szCs w:val="21"/>
              </w:rPr>
            </w:pPr>
            <w:r>
              <w:rPr>
                <w:rFonts w:hint="eastAsia" w:ascii="宋体" w:hAnsi="宋体"/>
                <w:b/>
                <w:sz w:val="21"/>
                <w:szCs w:val="21"/>
              </w:rPr>
              <w:t>一体化审核</w:t>
            </w:r>
          </w:p>
        </w:tc>
        <w:tc>
          <w:tcPr>
            <w:tcW w:w="3181" w:type="dxa"/>
            <w:gridSpan w:val="5"/>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10"/>
          </w:tcPr>
          <w:p>
            <w:pPr>
              <w:spacing w:line="320" w:lineRule="exact"/>
              <w:rPr>
                <w:rFonts w:ascii="宋体" w:hAnsi="宋体"/>
                <w:b w:val="0"/>
                <w:bCs/>
                <w:color w:val="000000" w:themeColor="text1"/>
                <w:sz w:val="20"/>
                <w:szCs w:val="20"/>
                <w:u w:val="single"/>
              </w:rPr>
            </w:pPr>
            <w:bookmarkStart w:id="24" w:name="审核范围"/>
            <w:r>
              <w:rPr>
                <w:rFonts w:ascii="宋体" w:hAnsi="宋体"/>
                <w:b w:val="0"/>
                <w:bCs/>
                <w:color w:val="000000" w:themeColor="text1"/>
                <w:sz w:val="20"/>
                <w:szCs w:val="20"/>
              </w:rPr>
              <w:t>Q：物业管理及资质范围内餐饮管理服务</w:t>
            </w:r>
          </w:p>
          <w:p>
            <w:pPr>
              <w:spacing w:line="320" w:lineRule="exact"/>
              <w:rPr>
                <w:rFonts w:ascii="宋体" w:hAnsi="宋体"/>
                <w:b w:val="0"/>
                <w:bCs/>
                <w:color w:val="000000" w:themeColor="text1"/>
                <w:sz w:val="20"/>
                <w:szCs w:val="20"/>
              </w:rPr>
            </w:pPr>
            <w:r>
              <w:rPr>
                <w:rFonts w:ascii="宋体" w:hAnsi="宋体"/>
                <w:b w:val="0"/>
                <w:bCs/>
                <w:color w:val="000000" w:themeColor="text1"/>
                <w:sz w:val="20"/>
                <w:szCs w:val="20"/>
              </w:rPr>
              <w:t>E：物业管理及资质范围内餐饮管理服务所涉及的相关环境管理活动</w:t>
            </w:r>
          </w:p>
          <w:p>
            <w:pPr>
              <w:spacing w:line="360" w:lineRule="exact"/>
              <w:rPr>
                <w:rFonts w:ascii="宋体" w:hAnsi="宋体"/>
                <w:b/>
                <w:sz w:val="21"/>
                <w:szCs w:val="21"/>
              </w:rPr>
            </w:pPr>
            <w:r>
              <w:rPr>
                <w:rFonts w:ascii="宋体" w:hAnsi="宋体"/>
                <w:b w:val="0"/>
                <w:bCs/>
                <w:color w:val="000000" w:themeColor="text1"/>
                <w:sz w:val="20"/>
                <w:szCs w:val="20"/>
              </w:rPr>
              <w:t>O：物业管理及资质范围内餐饮管理服务所涉及的相关职业健康安全管理活动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10"/>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281" w:type="dxa"/>
            <w:gridSpan w:val="2"/>
          </w:tcPr>
          <w:p>
            <w:pPr>
              <w:spacing w:line="260" w:lineRule="exact"/>
              <w:rPr>
                <w:rFonts w:ascii="宋体" w:hAnsi="宋体"/>
                <w:b w:val="0"/>
                <w:bCs/>
                <w:sz w:val="21"/>
                <w:szCs w:val="21"/>
              </w:rPr>
            </w:pPr>
            <w:bookmarkStart w:id="25" w:name="专业代码"/>
            <w:r>
              <w:rPr>
                <w:rFonts w:ascii="宋体" w:hAnsi="宋体"/>
                <w:b w:val="0"/>
                <w:bCs/>
                <w:sz w:val="21"/>
                <w:szCs w:val="21"/>
              </w:rPr>
              <w:t>O：30.05.00;35.15.00</w:t>
            </w:r>
          </w:p>
          <w:p>
            <w:pPr>
              <w:spacing w:line="260" w:lineRule="exact"/>
              <w:rPr>
                <w:rFonts w:ascii="宋体" w:hAnsi="宋体"/>
                <w:b w:val="0"/>
                <w:bCs/>
                <w:sz w:val="21"/>
                <w:szCs w:val="21"/>
              </w:rPr>
            </w:pPr>
            <w:r>
              <w:rPr>
                <w:rFonts w:ascii="宋体" w:hAnsi="宋体"/>
                <w:b w:val="0"/>
                <w:bCs/>
                <w:sz w:val="21"/>
                <w:szCs w:val="21"/>
              </w:rPr>
              <w:t>Q：30.05.00;35.15.00</w:t>
            </w:r>
          </w:p>
          <w:p>
            <w:pPr>
              <w:spacing w:line="260" w:lineRule="exact"/>
              <w:rPr>
                <w:rFonts w:ascii="宋体" w:hAnsi="宋体"/>
                <w:b w:val="0"/>
                <w:bCs/>
                <w:sz w:val="21"/>
                <w:szCs w:val="21"/>
              </w:rPr>
            </w:pPr>
            <w:r>
              <w:rPr>
                <w:rFonts w:ascii="宋体" w:hAnsi="宋体"/>
                <w:b w:val="0"/>
                <w:bCs/>
                <w:sz w:val="21"/>
                <w:szCs w:val="21"/>
              </w:rPr>
              <w:t>E：30.05.00;35.15.00</w:t>
            </w:r>
            <w:bookmarkEnd w:id="25"/>
          </w:p>
        </w:tc>
        <w:tc>
          <w:tcPr>
            <w:tcW w:w="1165" w:type="dxa"/>
            <w:gridSpan w:val="2"/>
            <w:vAlign w:val="center"/>
          </w:tcPr>
          <w:p>
            <w:pPr>
              <w:spacing w:line="260" w:lineRule="exact"/>
              <w:jc w:val="center"/>
              <w:rPr>
                <w:rFonts w:ascii="宋体" w:hAnsi="宋体"/>
                <w:b w:val="0"/>
                <w:bCs/>
                <w:sz w:val="21"/>
                <w:szCs w:val="21"/>
              </w:rPr>
            </w:pPr>
            <w:r>
              <w:rPr>
                <w:rFonts w:hint="eastAsia" w:ascii="宋体" w:hAnsi="宋体"/>
                <w:b w:val="0"/>
                <w:bCs/>
                <w:sz w:val="21"/>
                <w:szCs w:val="21"/>
              </w:rPr>
              <w:t>证书有</w:t>
            </w:r>
          </w:p>
          <w:p>
            <w:pPr>
              <w:spacing w:line="260" w:lineRule="exact"/>
              <w:jc w:val="center"/>
              <w:rPr>
                <w:rFonts w:ascii="宋体" w:hAnsi="宋体"/>
                <w:b w:val="0"/>
                <w:bCs/>
                <w:sz w:val="21"/>
                <w:szCs w:val="21"/>
              </w:rPr>
            </w:pPr>
            <w:r>
              <w:rPr>
                <w:rFonts w:hint="eastAsia" w:ascii="宋体" w:hAnsi="宋体"/>
                <w:b w:val="0"/>
                <w:bCs/>
                <w:sz w:val="21"/>
                <w:szCs w:val="21"/>
              </w:rPr>
              <w:t>效期</w:t>
            </w:r>
          </w:p>
        </w:tc>
        <w:tc>
          <w:tcPr>
            <w:tcW w:w="1353" w:type="dxa"/>
            <w:gridSpan w:val="3"/>
            <w:vAlign w:val="center"/>
          </w:tcPr>
          <w:p>
            <w:pPr>
              <w:spacing w:line="260" w:lineRule="exact"/>
              <w:jc w:val="center"/>
              <w:rPr>
                <w:rFonts w:ascii="宋体" w:hAnsi="宋体"/>
                <w:b w:val="0"/>
                <w:bCs/>
                <w:sz w:val="21"/>
                <w:szCs w:val="21"/>
              </w:rPr>
            </w:pPr>
            <w:r>
              <w:rPr>
                <w:rFonts w:ascii="Helvetica" w:hAnsi="Helvetica" w:eastAsia="Helvetica" w:cs="Helvetica"/>
                <w:i w:val="0"/>
                <w:caps w:val="0"/>
                <w:color w:val="000000"/>
                <w:spacing w:val="0"/>
                <w:sz w:val="14"/>
                <w:szCs w:val="14"/>
                <w:shd w:val="clear" w:fill="FFFFFF"/>
              </w:rPr>
              <w:t>2022-10-20</w:t>
            </w:r>
          </w:p>
        </w:tc>
        <w:tc>
          <w:tcPr>
            <w:tcW w:w="1341" w:type="dxa"/>
            <w:gridSpan w:val="2"/>
            <w:vAlign w:val="center"/>
          </w:tcPr>
          <w:p>
            <w:pPr>
              <w:spacing w:line="260" w:lineRule="exact"/>
              <w:jc w:val="center"/>
              <w:rPr>
                <w:rFonts w:ascii="宋体" w:hAnsi="宋体"/>
                <w:b w:val="0"/>
                <w:bCs/>
                <w:sz w:val="21"/>
                <w:szCs w:val="21"/>
              </w:rPr>
            </w:pPr>
            <w:r>
              <w:rPr>
                <w:rFonts w:hint="eastAsia" w:ascii="宋体" w:hAnsi="宋体"/>
                <w:b w:val="0"/>
                <w:bCs/>
                <w:sz w:val="21"/>
                <w:szCs w:val="21"/>
              </w:rPr>
              <w:t>上年度</w:t>
            </w:r>
          </w:p>
          <w:p>
            <w:pPr>
              <w:spacing w:line="260" w:lineRule="exact"/>
              <w:jc w:val="center"/>
              <w:rPr>
                <w:rFonts w:ascii="宋体" w:hAnsi="宋体"/>
                <w:b w:val="0"/>
                <w:bCs/>
                <w:sz w:val="21"/>
                <w:szCs w:val="21"/>
              </w:rPr>
            </w:pPr>
            <w:r>
              <w:rPr>
                <w:rFonts w:hint="eastAsia" w:ascii="宋体" w:hAnsi="宋体"/>
                <w:b w:val="0"/>
                <w:bCs/>
                <w:sz w:val="21"/>
                <w:szCs w:val="21"/>
              </w:rPr>
              <w:t>审核日期</w:t>
            </w:r>
          </w:p>
        </w:tc>
        <w:tc>
          <w:tcPr>
            <w:tcW w:w="1448" w:type="dxa"/>
            <w:vAlign w:val="center"/>
          </w:tcPr>
          <w:p>
            <w:pPr>
              <w:spacing w:line="260" w:lineRule="exact"/>
              <w:jc w:val="center"/>
              <w:rPr>
                <w:rFonts w:ascii="Helvetica" w:hAnsi="Helvetica" w:eastAsia="Helvetica" w:cs="Helvetica"/>
                <w:i w:val="0"/>
                <w:caps w:val="0"/>
                <w:color w:val="000000"/>
                <w:spacing w:val="0"/>
                <w:sz w:val="14"/>
                <w:szCs w:val="14"/>
                <w:shd w:val="clear" w:fill="FFFFFF"/>
              </w:rPr>
            </w:pPr>
            <w:r>
              <w:rPr>
                <w:rFonts w:ascii="Helvetica" w:hAnsi="Helvetica" w:eastAsia="Helvetica" w:cs="Helvetica"/>
                <w:i w:val="0"/>
                <w:caps w:val="0"/>
                <w:color w:val="000000"/>
                <w:spacing w:val="0"/>
                <w:sz w:val="14"/>
                <w:szCs w:val="14"/>
                <w:shd w:val="clear" w:fill="FFFFFF"/>
              </w:rPr>
              <w:t>2019-09-26 -- 2019-09-30</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val="0"/>
          <w:bCs/>
          <w:sz w:val="21"/>
          <w:szCs w:val="21"/>
          <w:lang w:val="en-US" w:eastAsia="zh-CN"/>
        </w:rPr>
        <w:t>物业小区、食堂；</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val="0"/>
          <w:bCs/>
          <w:sz w:val="21"/>
          <w:szCs w:val="21"/>
          <w:lang w:val="en-US" w:eastAsia="zh-CN"/>
        </w:rPr>
        <w:t>物业、餐饮管理；</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b w:val="0"/>
                <w:bCs/>
                <w:color w:val="000000" w:themeColor="text1"/>
                <w:sz w:val="20"/>
                <w:szCs w:val="20"/>
              </w:rPr>
              <w:t>经营范围：物业管理及资质范围内餐饮管理服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提供了《组织内外部环境因素识别表》：</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内部环境：资源因素－公司提供符合物业管理及资质范围内餐饮管理服务的场所，配备适宜的硬件和软件设施设备。信息来源：设施设备清单－具体现状描述：本公司设施设备可以确保物业管理及资质范围内餐饮管理服务，基本的质量控制要求－SWOT分析：WT……</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外部环境：竞争力－公司类别：物业管理及资质范围内餐饮管理服务，当前市场占有率不高，其他类似企业比较多－信息来源：市场调查和分析－具体现状描述：本公司产品质量稳定，但在市场中同行也多，竞争压力大－SWOT分析：ST……</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b w:val="0"/>
                <w:bCs/>
                <w:color w:val="000000" w:themeColor="text1"/>
                <w:sz w:val="20"/>
                <w:szCs w:val="20"/>
              </w:rPr>
              <w:t>相关方包括</w:t>
            </w:r>
            <w:r>
              <w:rPr>
                <w:rFonts w:hint="eastAsia"/>
                <w:b w:val="0"/>
                <w:bCs/>
                <w:color w:val="000000" w:themeColor="text1"/>
                <w:sz w:val="20"/>
                <w:szCs w:val="20"/>
                <w:lang w:val="en-US" w:eastAsia="zh-CN"/>
              </w:rPr>
              <w:t>青海西矿股份有限公司</w:t>
            </w:r>
            <w:r>
              <w:rPr>
                <w:rFonts w:hint="eastAsia"/>
                <w:b w:val="0"/>
                <w:bCs/>
                <w:color w:val="000000" w:themeColor="text1"/>
                <w:sz w:val="20"/>
                <w:szCs w:val="20"/>
              </w:rPr>
              <w:t>、组织中的成员、供应商、银行、工会、合伙人、</w:t>
            </w:r>
            <w:r>
              <w:rPr>
                <w:rFonts w:hint="eastAsia"/>
                <w:b w:val="0"/>
                <w:bCs/>
                <w:color w:val="000000" w:themeColor="text1"/>
                <w:sz w:val="20"/>
                <w:szCs w:val="20"/>
                <w:lang w:val="en-US" w:eastAsia="zh-CN"/>
              </w:rPr>
              <w:t>小区的居民、</w:t>
            </w:r>
            <w:r>
              <w:rPr>
                <w:rFonts w:hint="eastAsia"/>
                <w:b w:val="0"/>
                <w:bCs/>
                <w:color w:val="000000" w:themeColor="text1"/>
                <w:sz w:val="20"/>
                <w:szCs w:val="20"/>
              </w:rPr>
              <w:t>竞争对手或社会团体或行业协会。在每年的管理评审前，由相关部门负责人进行识别并评估其适用性,具体部门及识别见管理评审输入。主要顾客群：地产开发商、设计公司、装饰公司、酒店等</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相关方期望或要求监测与更新：管理者代表每年在管理评审前组织一次全面的内外部内外部环境要素识别与评审。</w:t>
            </w:r>
          </w:p>
          <w:p>
            <w:pPr>
              <w:spacing w:line="240" w:lineRule="exact"/>
              <w:ind w:firstLine="400" w:firstLineChars="200"/>
              <w:rPr>
                <w:rFonts w:hint="eastAsia" w:ascii="宋体" w:hAnsi="宋体" w:eastAsia="宋体"/>
                <w:b/>
                <w:sz w:val="21"/>
                <w:szCs w:val="21"/>
                <w:lang w:eastAsia="zh-CN"/>
              </w:rPr>
            </w:pPr>
            <w:r>
              <w:rPr>
                <w:rFonts w:hint="eastAsia"/>
                <w:b w:val="0"/>
                <w:bCs/>
                <w:color w:val="000000" w:themeColor="text1"/>
                <w:sz w:val="20"/>
                <w:szCs w:val="20"/>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tabs>
                <w:tab w:val="left" w:pos="540"/>
              </w:tabs>
              <w:spacing w:line="300" w:lineRule="exact"/>
              <w:ind w:left="201" w:hanging="211" w:hangingChars="100"/>
              <w:rPr>
                <w:rFonts w:hint="eastAsia" w:ascii="宋体" w:hAnsi="宋体"/>
                <w:b w:val="0"/>
                <w:bCs/>
                <w:color w:val="000000" w:themeColor="text1"/>
                <w:sz w:val="20"/>
                <w:szCs w:val="20"/>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b w:val="0"/>
                <w:bCs/>
                <w:color w:val="000000" w:themeColor="text1"/>
                <w:sz w:val="20"/>
                <w:szCs w:val="20"/>
              </w:rPr>
              <w:t>管理方针：“遵纪守法，诚信规范； 优质高效，健康文明：综合治理，保护环境；安全可靠，预防为主；依靠科技，持续改进”，</w:t>
            </w:r>
          </w:p>
          <w:p>
            <w:pPr>
              <w:tabs>
                <w:tab w:val="left" w:pos="540"/>
              </w:tabs>
              <w:spacing w:line="300" w:lineRule="exact"/>
              <w:ind w:left="201" w:hanging="200" w:hangingChars="100"/>
              <w:rPr>
                <w:rFonts w:ascii="宋体" w:hAnsi="宋体"/>
                <w:b/>
                <w:sz w:val="21"/>
                <w:szCs w:val="21"/>
              </w:rPr>
            </w:pPr>
            <w:r>
              <w:rPr>
                <w:rFonts w:hint="eastAsia" w:ascii="宋体" w:hAnsi="宋体"/>
                <w:b w:val="0"/>
                <w:bCs/>
                <w:color w:val="000000" w:themeColor="text1"/>
                <w:sz w:val="20"/>
                <w:szCs w:val="20"/>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tabs>
                <w:tab w:val="left" w:pos="540"/>
              </w:tabs>
              <w:spacing w:line="300" w:lineRule="exact"/>
              <w:ind w:left="201" w:hanging="211" w:hangingChars="100"/>
              <w:rPr>
                <w:rFonts w:hint="eastAsia" w:ascii="宋体" w:hAnsi="宋体"/>
                <w:b w:val="0"/>
                <w:bCs/>
                <w:color w:val="000000" w:themeColor="text1"/>
                <w:sz w:val="20"/>
                <w:szCs w:val="20"/>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宋体" w:hAnsi="宋体"/>
                <w:b w:val="0"/>
                <w:bCs/>
                <w:color w:val="000000" w:themeColor="text1"/>
                <w:sz w:val="20"/>
                <w:szCs w:val="20"/>
              </w:rPr>
              <w:t>制定了《风险和机遇的应对控制程序》，明确风险和机遇事件的识别方法/途径、风险和机遇事件的评估方式、制定主要风险和机遇事件的应对措施的要求、评价这些措施有效性的方法。</w:t>
            </w:r>
          </w:p>
          <w:p>
            <w:pPr>
              <w:tabs>
                <w:tab w:val="left" w:pos="540"/>
              </w:tabs>
              <w:spacing w:line="300" w:lineRule="exact"/>
              <w:ind w:left="201" w:hanging="200" w:hangingChars="100"/>
              <w:rPr>
                <w:rFonts w:hint="eastAsia" w:ascii="宋体" w:hAnsi="宋体"/>
                <w:b w:val="0"/>
                <w:bCs/>
                <w:color w:val="000000" w:themeColor="text1"/>
                <w:sz w:val="20"/>
                <w:szCs w:val="20"/>
              </w:rPr>
            </w:pPr>
            <w:r>
              <w:rPr>
                <w:rFonts w:hint="eastAsia" w:ascii="宋体" w:hAnsi="宋体"/>
                <w:b w:val="0"/>
                <w:bCs/>
                <w:color w:val="000000" w:themeColor="text1"/>
                <w:sz w:val="20"/>
                <w:szCs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tabs>
                <w:tab w:val="left" w:pos="540"/>
              </w:tabs>
              <w:spacing w:line="300" w:lineRule="exact"/>
              <w:ind w:left="201" w:hanging="200" w:hangingChars="100"/>
              <w:rPr>
                <w:rFonts w:hint="eastAsia" w:ascii="宋体" w:hAnsi="宋体"/>
                <w:b w:val="0"/>
                <w:bCs/>
                <w:color w:val="000000" w:themeColor="text1"/>
                <w:sz w:val="20"/>
                <w:szCs w:val="20"/>
              </w:rPr>
            </w:pPr>
            <w:r>
              <w:rPr>
                <w:rFonts w:hint="eastAsia" w:ascii="宋体" w:hAnsi="宋体"/>
                <w:b w:val="0"/>
                <w:bCs/>
                <w:color w:val="000000" w:themeColor="text1"/>
                <w:sz w:val="20"/>
                <w:szCs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tabs>
                <w:tab w:val="left" w:pos="540"/>
              </w:tabs>
              <w:spacing w:line="300" w:lineRule="exact"/>
              <w:ind w:left="201" w:hanging="200" w:hangingChars="100"/>
              <w:rPr>
                <w:rFonts w:hint="eastAsia" w:ascii="宋体" w:hAnsi="宋体" w:eastAsia="宋体"/>
                <w:b/>
                <w:sz w:val="21"/>
                <w:szCs w:val="21"/>
                <w:lang w:eastAsia="zh-CN"/>
              </w:rPr>
            </w:pPr>
            <w:r>
              <w:rPr>
                <w:rFonts w:hint="eastAsia" w:ascii="宋体" w:hAnsi="宋体"/>
                <w:b w:val="0"/>
                <w:bCs/>
                <w:color w:val="000000" w:themeColor="text1"/>
                <w:sz w:val="20"/>
                <w:szCs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val="0"/>
                <w:bCs/>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人力资源、基础设施、文件、机构、职责、物业服务的要求、外部提供的产品和服务、产品放行、不合格输出控制、绩效评价、改进等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物业服务、餐饮服务、食品加工过程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物业服务、餐饮服务、餐饮消毒</w:t>
            </w:r>
          </w:p>
          <w:p>
            <w:pPr>
              <w:tabs>
                <w:tab w:val="left" w:pos="540"/>
              </w:tabs>
              <w:spacing w:line="300" w:lineRule="exact"/>
              <w:ind w:left="211" w:hanging="201" w:hangingChars="100"/>
              <w:rPr>
                <w:rFonts w:ascii="宋体" w:hAnsi="宋体"/>
                <w:b/>
                <w:sz w:val="2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ascii="宋体" w:hAnsi="宋体"/>
                <w:b w:val="0"/>
                <w:bCs/>
                <w:color w:val="000000" w:themeColor="text1"/>
                <w:sz w:val="20"/>
                <w:szCs w:val="20"/>
              </w:rPr>
              <w:t>8.3</w:t>
            </w:r>
            <w:r>
              <w:rPr>
                <w:rFonts w:hint="eastAsia" w:ascii="宋体" w:hAnsi="宋体"/>
                <w:b w:val="0"/>
                <w:bCs/>
                <w:color w:val="000000" w:themeColor="text1"/>
                <w:sz w:val="20"/>
                <w:szCs w:val="20"/>
              </w:rPr>
              <w:t xml:space="preserve"> </w:t>
            </w:r>
            <w:r>
              <w:rPr>
                <w:rFonts w:hint="eastAsia" w:ascii="宋体" w:hAnsi="宋体"/>
                <w:b/>
                <w:color w:val="000000" w:themeColor="text1"/>
                <w:sz w:val="20"/>
                <w:szCs w:val="20"/>
              </w:rPr>
              <w:t>，不适用理由：</w:t>
            </w:r>
            <w:r>
              <w:rPr>
                <w:rFonts w:hint="eastAsia" w:ascii="宋体" w:hAnsi="宋体"/>
                <w:b w:val="0"/>
                <w:bCs/>
                <w:color w:val="000000" w:themeColor="text1"/>
                <w:sz w:val="20"/>
                <w:szCs w:val="20"/>
              </w:rPr>
              <w:t>物业管理及资质范围内餐饮管理服务，模式成熟，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00" w:lineRule="exact"/>
              <w:rPr>
                <w:rFonts w:ascii="宋体" w:hAnsi="宋体"/>
                <w:b/>
                <w:sz w:val="21"/>
                <w:szCs w:val="21"/>
              </w:rPr>
            </w:pPr>
            <w:r>
              <w:rPr>
                <w:rFonts w:hint="eastAsia"/>
                <w:b w:val="0"/>
                <w:bCs/>
                <w:color w:val="000000" w:themeColor="text1"/>
                <w:sz w:val="20"/>
                <w:szCs w:val="20"/>
              </w:rPr>
              <w:t>根据公司经营性质，识别了各部门和场所的环境因素，并对环境因素进行了评价，评价出了重要环境因素（废水、粉（烟）尘排放、噪声、固废/危废的排物、火灾等噪声的排放、苗木施肥、打药)，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r>
              <w:rPr>
                <w:b/>
                <w:color w:val="000000" w:themeColor="text1"/>
                <w:sz w:val="20"/>
                <w:szCs w:val="20"/>
              </w:rPr>
              <w:t xml:space="preserve"> </w:t>
            </w:r>
            <w:r>
              <w:rPr>
                <w:rFonts w:hint="eastAsia"/>
                <w:b w:val="0"/>
                <w:bCs/>
                <w:color w:val="000000" w:themeColor="text1"/>
                <w:sz w:val="20"/>
                <w:szCs w:val="20"/>
              </w:rPr>
              <w:t>根据组织经营性质，识别了各部门和场所的危险源，并对危险源进行了评价，评价出不可接受风险（潜在的火灾、高温中暑、</w:t>
            </w:r>
            <w:r>
              <w:rPr>
                <w:rFonts w:hint="eastAsia"/>
                <w:b w:val="0"/>
                <w:bCs/>
                <w:color w:val="000000" w:themeColor="text1"/>
                <w:sz w:val="20"/>
                <w:szCs w:val="20"/>
                <w:lang w:val="en-US" w:eastAsia="zh-CN"/>
              </w:rPr>
              <w:t>食品中毒、</w:t>
            </w:r>
            <w:r>
              <w:rPr>
                <w:rFonts w:hint="eastAsia"/>
                <w:b w:val="0"/>
                <w:bCs/>
                <w:color w:val="000000" w:themeColor="text1"/>
                <w:sz w:val="20"/>
                <w:szCs w:val="20"/>
              </w:rPr>
              <w:t>触电、车辆伤害），识别基本齐全，评价合理。基本了解评价动态变更的及时性</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24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在公司各职能和层次上建立了质量、环境、职业健康安全目标，并制定了相应考核办法。基本适宜公司特点。目标具有可测量性，对目标完成情况进行了考核。对制订的管理方案实施情况定期进行检查。</w:t>
            </w:r>
          </w:p>
          <w:p>
            <w:pPr>
              <w:spacing w:line="240" w:lineRule="exact"/>
              <w:ind w:firstLine="200" w:firstLineChars="100"/>
              <w:rPr>
                <w:rFonts w:hint="eastAsia"/>
                <w:b w:val="0"/>
                <w:bCs/>
                <w:color w:val="000000" w:themeColor="text1"/>
                <w:sz w:val="20"/>
                <w:szCs w:val="20"/>
              </w:rPr>
            </w:pPr>
            <w:r>
              <w:rPr>
                <w:rFonts w:hint="eastAsia"/>
                <w:b w:val="0"/>
                <w:bCs/>
                <w:color w:val="000000" w:themeColor="text1"/>
                <w:sz w:val="20"/>
                <w:szCs w:val="20"/>
              </w:rPr>
              <w:t>目前目标均考核完成。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00" w:firstLineChars="2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公司按照制定的文件和记录控制相关程序，对管理体系有关的文件、记录等成文信息进行有效控制，在使用处均有文件的有效版本。公司文件为手册</w:t>
            </w:r>
            <w:r>
              <w:rPr>
                <w:rFonts w:hint="eastAsia" w:ascii="Times New Roman" w:hAnsi="Times New Roman" w:eastAsia="宋体" w:cs="Times New Roman"/>
                <w:b w:val="0"/>
                <w:bCs/>
                <w:color w:val="000000" w:themeColor="text1"/>
                <w:sz w:val="20"/>
                <w:szCs w:val="20"/>
                <w:lang w:val="en-US" w:eastAsia="zh-CN"/>
              </w:rPr>
              <w:t>1个</w:t>
            </w:r>
            <w:r>
              <w:rPr>
                <w:rFonts w:hint="eastAsia" w:ascii="Times New Roman" w:hAnsi="Times New Roman" w:eastAsia="宋体" w:cs="Times New Roman"/>
                <w:b w:val="0"/>
                <w:bCs/>
                <w:color w:val="000000" w:themeColor="text1"/>
                <w:sz w:val="20"/>
                <w:szCs w:val="20"/>
              </w:rPr>
              <w:t>、程序文件31个、作业文件</w:t>
            </w:r>
            <w:r>
              <w:rPr>
                <w:rFonts w:hint="eastAsia" w:ascii="Times New Roman" w:hAnsi="Times New Roman" w:eastAsia="宋体" w:cs="Times New Roman"/>
                <w:b w:val="0"/>
                <w:bCs/>
                <w:color w:val="000000" w:themeColor="text1"/>
                <w:sz w:val="20"/>
                <w:szCs w:val="20"/>
                <w:lang w:val="en-US" w:eastAsia="zh-CN"/>
              </w:rPr>
              <w:t>1套</w:t>
            </w:r>
            <w:r>
              <w:rPr>
                <w:rFonts w:hint="eastAsia" w:ascii="Times New Roman" w:hAnsi="Times New Roman" w:eastAsia="宋体" w:cs="Times New Roman"/>
                <w:b w:val="0"/>
                <w:bCs/>
                <w:color w:val="000000" w:themeColor="text1"/>
                <w:sz w:val="20"/>
                <w:szCs w:val="20"/>
              </w:rPr>
              <w:t>三层。</w:t>
            </w:r>
            <w:r>
              <w:rPr>
                <w:rFonts w:hint="eastAsia" w:ascii="Times New Roman" w:hAnsi="Times New Roman" w:eastAsia="宋体" w:cs="Times New Roman"/>
                <w:b w:val="0"/>
                <w:bCs/>
                <w:color w:val="000000" w:themeColor="text1"/>
                <w:sz w:val="20"/>
                <w:szCs w:val="20"/>
                <w:lang w:val="en-US" w:eastAsia="zh-CN"/>
              </w:rPr>
              <w:t>外来文件</w:t>
            </w:r>
            <w:r>
              <w:rPr>
                <w:rFonts w:hint="eastAsia" w:ascii="Times New Roman" w:hAnsi="Times New Roman" w:eastAsia="宋体" w:cs="Times New Roman"/>
                <w:b w:val="0"/>
                <w:bCs/>
                <w:color w:val="000000" w:themeColor="text1"/>
                <w:sz w:val="20"/>
                <w:szCs w:val="20"/>
              </w:rPr>
              <w:t>DB32/T538-2002《青海省住宅物业管理及餐饮服务服务标准》</w:t>
            </w:r>
            <w:r>
              <w:rPr>
                <w:rFonts w:hint="eastAsia" w:ascii="Times New Roman" w:hAnsi="Times New Roman" w:eastAsia="宋体" w:cs="Times New Roman"/>
                <w:b w:val="0"/>
                <w:bCs/>
                <w:color w:val="000000" w:themeColor="text1"/>
                <w:sz w:val="20"/>
                <w:szCs w:val="20"/>
              </w:rPr>
              <w:fldChar w:fldCharType="begin"/>
            </w:r>
            <w:r>
              <w:rPr>
                <w:rFonts w:hint="eastAsia" w:ascii="Times New Roman" w:hAnsi="Times New Roman" w:eastAsia="宋体" w:cs="Times New Roman"/>
                <w:b w:val="0"/>
                <w:bCs/>
                <w:color w:val="000000" w:themeColor="text1"/>
                <w:sz w:val="20"/>
                <w:szCs w:val="20"/>
              </w:rPr>
              <w:instrText xml:space="preserve"> HYPERLINK "http://www.so.com/link?m=aCnZJKp+7A+ePtjI0eR0NFgWRn4tDVGN5jCl5jKFWJtbKn+zVPJ9xNndk2h11wGJYMnY6OH5q5hyHyQRlCJ5O5XQEnfrQRXRLyHvLHq9Nef94j3u43or54UTa/vTC3KJXX8XIXgjjbHI6+tMoIeWJNmsDEDqnCIYwA5aDT8Cy2VHcL9kGTYUq1xL+zmloMXnbiJDPVvfViPs17tq7tYq/mw==" \t "https://www.so.com/_blank" </w:instrText>
            </w:r>
            <w:r>
              <w:rPr>
                <w:rFonts w:hint="eastAsia" w:ascii="Times New Roman" w:hAnsi="Times New Roman" w:eastAsia="宋体" w:cs="Times New Roman"/>
                <w:b w:val="0"/>
                <w:bCs/>
                <w:color w:val="000000" w:themeColor="text1"/>
                <w:sz w:val="20"/>
                <w:szCs w:val="20"/>
              </w:rPr>
              <w:fldChar w:fldCharType="separate"/>
            </w:r>
            <w:r>
              <w:rPr>
                <w:rFonts w:hint="eastAsia" w:ascii="Times New Roman" w:hAnsi="Times New Roman" w:eastAsia="宋体" w:cs="Times New Roman"/>
                <w:b w:val="0"/>
                <w:bCs/>
                <w:color w:val="000000" w:themeColor="text1"/>
                <w:sz w:val="20"/>
                <w:szCs w:val="20"/>
              </w:rPr>
              <w:t>《物业管理及餐饮服务服务质量规范》</w:t>
            </w:r>
            <w:r>
              <w:rPr>
                <w:rFonts w:hint="eastAsia" w:ascii="Times New Roman" w:hAnsi="Times New Roman" w:eastAsia="宋体" w:cs="Times New Roman"/>
                <w:b w:val="0"/>
                <w:bCs/>
                <w:color w:val="000000" w:themeColor="text1"/>
                <w:sz w:val="20"/>
                <w:szCs w:val="20"/>
              </w:rPr>
              <w:fldChar w:fldCharType="end"/>
            </w:r>
            <w:r>
              <w:rPr>
                <w:rFonts w:hint="eastAsia" w:ascii="Times New Roman" w:hAnsi="Times New Roman" w:eastAsia="宋体" w:cs="Times New Roman"/>
                <w:b w:val="0"/>
                <w:bCs/>
                <w:color w:val="000000" w:themeColor="text1"/>
                <w:sz w:val="20"/>
                <w:szCs w:val="20"/>
              </w:rPr>
              <w:t>等。</w:t>
            </w:r>
          </w:p>
          <w:p>
            <w:pPr>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《记录清单》显示/有105种。</w:t>
            </w:r>
          </w:p>
          <w:p>
            <w:pPr>
              <w:ind w:firstLine="400" w:firstLineChars="2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创建和更新文件时，标识和说明、格式、评审和批准等与规定要求相符。文件的存在形式以书面文件和电子版文件为准。</w:t>
            </w:r>
          </w:p>
          <w:p>
            <w:pPr>
              <w:ind w:firstLine="400" w:firstLineChars="200"/>
              <w:rPr>
                <w:rFonts w:ascii="宋体" w:hAnsi="宋体"/>
                <w:b/>
                <w:sz w:val="21"/>
                <w:szCs w:val="21"/>
              </w:rPr>
            </w:pPr>
            <w:r>
              <w:rPr>
                <w:rFonts w:hint="eastAsia" w:ascii="Times New Roman" w:hAnsi="Times New Roman" w:eastAsia="宋体" w:cs="Times New Roman"/>
                <w:b w:val="0"/>
                <w:bCs/>
                <w:color w:val="000000" w:themeColor="text1"/>
                <w:sz w:val="20"/>
                <w:szCs w:val="20"/>
              </w:rPr>
              <w:t>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ascii="宋体" w:hAnsi="宋体"/>
                <w:b/>
                <w:color w:val="000000" w:themeColor="text1"/>
                <w:sz w:val="20"/>
                <w:szCs w:val="20"/>
              </w:rPr>
              <w:t xml:space="preserve">  </w:t>
            </w:r>
            <w:r>
              <w:rPr>
                <w:rFonts w:hint="eastAsia" w:ascii="Times New Roman" w:hAnsi="Times New Roman" w:eastAsia="宋体" w:cs="Times New Roman"/>
                <w:b w:val="0"/>
                <w:bCs/>
                <w:color w:val="000000" w:themeColor="text1"/>
                <w:sz w:val="20"/>
                <w:szCs w:val="20"/>
              </w:rPr>
              <w:t>该公司员工60人，管理人员10人，</w:t>
            </w:r>
            <w:r>
              <w:rPr>
                <w:rFonts w:hint="eastAsia" w:ascii="Times New Roman" w:hAnsi="Times New Roman" w:eastAsia="宋体" w:cs="Times New Roman"/>
                <w:b w:val="0"/>
                <w:bCs/>
                <w:color w:val="000000" w:themeColor="text1"/>
                <w:sz w:val="20"/>
                <w:szCs w:val="20"/>
                <w:lang w:val="en-US" w:eastAsia="zh-CN"/>
              </w:rPr>
              <w:t>电工  2个、司炉工1个、高级物业管理师1人、建（构）筑物消防员1人、</w:t>
            </w:r>
            <w:r>
              <w:rPr>
                <w:rFonts w:hint="eastAsia" w:cs="Times New Roman"/>
                <w:b w:val="0"/>
                <w:bCs/>
                <w:color w:val="000000" w:themeColor="text1"/>
                <w:sz w:val="20"/>
                <w:szCs w:val="20"/>
                <w:lang w:val="en-US" w:eastAsia="zh-CN"/>
              </w:rPr>
              <w:t>厨师10</w:t>
            </w:r>
            <w:r>
              <w:rPr>
                <w:rFonts w:hint="eastAsia" w:ascii="Times New Roman" w:hAnsi="Times New Roman" w:eastAsia="宋体" w:cs="Times New Roman"/>
                <w:b w:val="0"/>
                <w:bCs/>
                <w:color w:val="000000" w:themeColor="text1"/>
                <w:sz w:val="20"/>
                <w:szCs w:val="20"/>
                <w:lang w:val="en-US" w:eastAsia="zh-CN"/>
              </w:rPr>
              <w:t>人。</w:t>
            </w:r>
            <w:r>
              <w:rPr>
                <w:rFonts w:hint="eastAsia" w:ascii="Times New Roman" w:hAnsi="Times New Roman" w:eastAsia="宋体" w:cs="Times New Roman"/>
                <w:b w:val="0"/>
                <w:bCs/>
                <w:color w:val="000000" w:themeColor="text1"/>
                <w:sz w:val="20"/>
                <w:szCs w:val="20"/>
              </w:rPr>
              <w:t>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设备主要是物业服务设备及办公设备，真空锅炉、健身器材、监控设备、餐厨设备、办公设备等如电脑、打印机、复印机、办公桌等。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00" w:firstLineChars="200"/>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食堂环境要干净洁净、通风、温度适中；物业环境要求干净整洁美观，能满足要求。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宋体" w:hAnsi="宋体"/>
                <w:b w:val="0"/>
                <w:bCs/>
                <w:color w:val="000000" w:themeColor="text1"/>
                <w:sz w:val="20"/>
                <w:szCs w:val="20"/>
              </w:rPr>
              <w:t>监视测量设备</w:t>
            </w:r>
            <w:r>
              <w:rPr>
                <w:rFonts w:hint="eastAsia" w:ascii="宋体" w:hAnsi="宋体"/>
                <w:b w:val="0"/>
                <w:bCs/>
                <w:color w:val="000000" w:themeColor="text1"/>
                <w:sz w:val="20"/>
                <w:szCs w:val="20"/>
                <w:lang w:val="en-US" w:eastAsia="zh-CN"/>
              </w:rPr>
              <w:t>有：监控设备、</w:t>
            </w:r>
            <w:r>
              <w:rPr>
                <w:rFonts w:hint="eastAsia" w:ascii="宋体" w:hAnsi="宋体"/>
                <w:b w:val="0"/>
                <w:bCs/>
                <w:color w:val="000000" w:themeColor="text1"/>
                <w:sz w:val="20"/>
                <w:szCs w:val="20"/>
              </w:rPr>
              <w:t>压力表等。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r>
              <w:rPr>
                <w:rFonts w:hint="eastAsia" w:ascii="宋体" w:hAnsi="宋体"/>
                <w:b/>
                <w:sz w:val="21"/>
                <w:szCs w:val="21"/>
                <w:lang w:eastAsia="zh-CN"/>
              </w:rPr>
              <w:t>：</w:t>
            </w:r>
            <w:r>
              <w:rPr>
                <w:rFonts w:hint="eastAsia" w:ascii="宋体" w:hAnsi="宋体"/>
                <w:b w:val="0"/>
                <w:bCs/>
                <w:color w:val="000000" w:themeColor="text1"/>
                <w:sz w:val="20"/>
                <w:szCs w:val="20"/>
              </w:rPr>
              <w:t>公司确定运行过程所需的知识，内部来源包括公司运作准则（管理制度、工作记录等）、专业技术应用、物业管理及资质范围内的餐饮服务过程管理等。外部来源包括外来资料、法律法规、市场信息等。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环保设施：</w:t>
            </w:r>
            <w:r>
              <w:rPr>
                <w:rFonts w:hint="eastAsia" w:ascii="宋体" w:hAnsi="宋体" w:eastAsia="宋体" w:cs="Times New Roman"/>
                <w:b w:val="0"/>
                <w:bCs/>
                <w:color w:val="000000" w:themeColor="text1"/>
                <w:sz w:val="20"/>
                <w:szCs w:val="20"/>
                <w:lang w:val="en-US" w:eastAsia="zh-CN"/>
              </w:rPr>
              <w:t>餐饮过程中烟尘净化处理设备，满足要求。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eastAsia="宋体" w:cs="Times New Roman"/>
                <w:b w:val="0"/>
                <w:bCs/>
                <w:color w:val="000000" w:themeColor="text1"/>
                <w:sz w:val="20"/>
                <w:szCs w:val="20"/>
                <w:lang w:val="en-US" w:eastAsia="zh-CN"/>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jc w:val="both"/>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a. 管理方针：“遵纪守法，诚信规范； 优质高效，健康文明：综合治理，保护环境；安全可靠，预防为主；依靠科技，持续改进。”</w:t>
            </w:r>
          </w:p>
          <w:p>
            <w:pPr>
              <w:spacing w:line="300" w:lineRule="exact"/>
              <w:jc w:val="both"/>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b. 管理方针与企业的经营宗旨相适应，协调；</w:t>
            </w:r>
          </w:p>
          <w:p>
            <w:pPr>
              <w:spacing w:line="300" w:lineRule="exact"/>
              <w:jc w:val="both"/>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c. 通过会议传达，沟通，让全体员工理解执行。并定期进行评审（一般一年一次）。20</w:t>
            </w:r>
            <w:r>
              <w:rPr>
                <w:rFonts w:hint="eastAsia" w:cs="Times New Roman"/>
                <w:b w:val="0"/>
                <w:bCs/>
                <w:color w:val="000000" w:themeColor="text1"/>
                <w:sz w:val="20"/>
                <w:szCs w:val="20"/>
                <w:lang w:val="en-US" w:eastAsia="zh-CN"/>
              </w:rPr>
              <w:t>20</w:t>
            </w:r>
            <w:r>
              <w:rPr>
                <w:rFonts w:hint="eastAsia" w:ascii="Times New Roman" w:hAnsi="Times New Roman" w:eastAsia="宋体" w:cs="Times New Roman"/>
                <w:b w:val="0"/>
                <w:bCs/>
                <w:color w:val="000000" w:themeColor="text1"/>
                <w:sz w:val="20"/>
                <w:szCs w:val="20"/>
                <w:lang w:val="en-US" w:eastAsia="zh-CN"/>
              </w:rPr>
              <w:t>年8月</w:t>
            </w:r>
            <w:r>
              <w:rPr>
                <w:rFonts w:hint="eastAsia" w:cs="Times New Roman"/>
                <w:b w:val="0"/>
                <w:bCs/>
                <w:color w:val="000000" w:themeColor="text1"/>
                <w:sz w:val="20"/>
                <w:szCs w:val="20"/>
                <w:lang w:val="en-US" w:eastAsia="zh-CN"/>
              </w:rPr>
              <w:t>进行</w:t>
            </w:r>
            <w:r>
              <w:rPr>
                <w:rFonts w:hint="eastAsia" w:ascii="Times New Roman" w:hAnsi="Times New Roman" w:eastAsia="宋体" w:cs="Times New Roman"/>
                <w:b w:val="0"/>
                <w:bCs/>
                <w:color w:val="000000" w:themeColor="text1"/>
                <w:sz w:val="20"/>
                <w:szCs w:val="20"/>
                <w:lang w:val="en-US" w:eastAsia="zh-CN"/>
              </w:rPr>
              <w:t>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 w:val="0"/>
                <w:bCs/>
                <w:color w:val="000000" w:themeColor="text1"/>
                <w:sz w:val="20"/>
                <w:szCs w:val="20"/>
              </w:rPr>
            </w:pPr>
            <w:r>
              <w:rPr>
                <w:rFonts w:hint="eastAsia"/>
                <w:b/>
                <w:color w:val="000000" w:themeColor="text1"/>
                <w:sz w:val="20"/>
                <w:szCs w:val="20"/>
              </w:rPr>
              <w:t>内部沟通的情况：部沟通的情况：</w:t>
            </w:r>
            <w:r>
              <w:rPr>
                <w:rFonts w:hint="eastAsia"/>
                <w:b w:val="0"/>
                <w:bCs/>
                <w:color w:val="000000" w:themeColor="text1"/>
                <w:sz w:val="20"/>
                <w:szCs w:val="20"/>
              </w:rPr>
              <w:t>内部沟通方式：会议、公告栏、发放文件、网络等</w:t>
            </w:r>
          </w:p>
          <w:p>
            <w:pPr>
              <w:spacing w:line="240" w:lineRule="exact"/>
              <w:rPr>
                <w:b w:val="0"/>
                <w:bCs/>
                <w:color w:val="000000" w:themeColor="text1"/>
                <w:sz w:val="20"/>
                <w:szCs w:val="20"/>
              </w:rPr>
            </w:pPr>
            <w:r>
              <w:rPr>
                <w:rFonts w:hint="eastAsia"/>
                <w:b/>
                <w:color w:val="000000" w:themeColor="text1"/>
                <w:sz w:val="20"/>
                <w:szCs w:val="20"/>
              </w:rPr>
              <w:t>内部沟通的效果：</w:t>
            </w:r>
            <w:r>
              <w:rPr>
                <w:rFonts w:hint="eastAsia"/>
                <w:b w:val="0"/>
                <w:bCs/>
                <w:color w:val="000000" w:themeColor="text1"/>
                <w:sz w:val="20"/>
                <w:szCs w:val="20"/>
              </w:rPr>
              <w:t>能够得到有效沟通</w:t>
            </w:r>
          </w:p>
          <w:p>
            <w:pPr>
              <w:spacing w:line="240" w:lineRule="exact"/>
              <w:rPr>
                <w:b w:val="0"/>
                <w:bCs/>
                <w:color w:val="000000" w:themeColor="text1"/>
                <w:sz w:val="20"/>
                <w:szCs w:val="20"/>
              </w:rPr>
            </w:pPr>
            <w:r>
              <w:rPr>
                <w:rFonts w:hint="eastAsia"/>
                <w:b/>
                <w:color w:val="000000" w:themeColor="text1"/>
                <w:sz w:val="20"/>
                <w:szCs w:val="20"/>
              </w:rPr>
              <w:t>公司对外联络，关注顾客的感受情况（QMS）：</w:t>
            </w:r>
            <w:r>
              <w:rPr>
                <w:rFonts w:hint="eastAsia"/>
                <w:b w:val="0"/>
                <w:bCs/>
                <w:color w:val="000000" w:themeColor="text1"/>
                <w:sz w:val="20"/>
                <w:szCs w:val="20"/>
              </w:rPr>
              <w:t>顾客满意度调查表的发放、电话回访、到顾客现场进行询问等形式</w:t>
            </w:r>
          </w:p>
          <w:p>
            <w:pPr>
              <w:spacing w:line="240" w:lineRule="exact"/>
              <w:rPr>
                <w:b/>
                <w:color w:val="000000" w:themeColor="text1"/>
                <w:sz w:val="20"/>
                <w:szCs w:val="20"/>
              </w:rPr>
            </w:pPr>
            <w:r>
              <w:rPr>
                <w:rFonts w:hint="eastAsia"/>
                <w:b/>
                <w:color w:val="000000" w:themeColor="text1"/>
                <w:sz w:val="20"/>
                <w:szCs w:val="20"/>
              </w:rPr>
              <w:t>外部信息的接收、成文并答复的情况（E、S填写）：</w:t>
            </w:r>
            <w:r>
              <w:rPr>
                <w:rFonts w:hint="eastAsia"/>
                <w:b w:val="0"/>
                <w:bCs/>
                <w:color w:val="000000" w:themeColor="text1"/>
                <w:sz w:val="20"/>
                <w:szCs w:val="20"/>
              </w:rPr>
              <w:t>进行接收、答复，但未进行记录。</w:t>
            </w:r>
          </w:p>
          <w:p>
            <w:pPr>
              <w:spacing w:line="240" w:lineRule="exact"/>
              <w:rPr>
                <w:b w:val="0"/>
                <w:bCs/>
                <w:color w:val="000000" w:themeColor="text1"/>
                <w:sz w:val="20"/>
                <w:szCs w:val="20"/>
              </w:rPr>
            </w:pPr>
            <w:r>
              <w:rPr>
                <w:rFonts w:hint="eastAsia"/>
                <w:b/>
                <w:color w:val="000000" w:themeColor="text1"/>
                <w:sz w:val="20"/>
                <w:szCs w:val="20"/>
              </w:rPr>
              <w:t>重要环境因素信息对外交流情况（EMS填写）：</w:t>
            </w:r>
            <w:r>
              <w:rPr>
                <w:rFonts w:hint="eastAsia"/>
                <w:b w:val="0"/>
                <w:bCs/>
                <w:color w:val="000000" w:themeColor="text1"/>
                <w:sz w:val="20"/>
                <w:szCs w:val="20"/>
              </w:rPr>
              <w:t>对相关方进行了书面告知，见到相关方告知书。</w:t>
            </w:r>
          </w:p>
          <w:p>
            <w:pPr>
              <w:spacing w:line="240" w:lineRule="exact"/>
              <w:rPr>
                <w:b w:val="0"/>
                <w:bCs/>
                <w:color w:val="000000" w:themeColor="text1"/>
                <w:sz w:val="20"/>
                <w:szCs w:val="20"/>
              </w:rPr>
            </w:pPr>
            <w:r>
              <w:rPr>
                <w:rFonts w:hint="eastAsia"/>
                <w:b/>
                <w:color w:val="000000" w:themeColor="text1"/>
                <w:sz w:val="20"/>
                <w:szCs w:val="20"/>
              </w:rPr>
              <w:t>OHSMS事务代表协商和交流的情况（OHSMS填写）：</w:t>
            </w:r>
            <w:r>
              <w:rPr>
                <w:rFonts w:hint="eastAsia"/>
                <w:b w:val="0"/>
                <w:bCs/>
                <w:color w:val="000000" w:themeColor="text1"/>
                <w:sz w:val="20"/>
                <w:szCs w:val="20"/>
              </w:rPr>
              <w:t>参与了管理体系文件的制定，每年召开一次员工代表会议，未保留记录。</w:t>
            </w:r>
          </w:p>
          <w:p>
            <w:pPr>
              <w:spacing w:line="240" w:lineRule="exact"/>
              <w:rPr>
                <w:rFonts w:ascii="宋体" w:hAnsi="宋体"/>
                <w:b/>
                <w:sz w:val="21"/>
                <w:szCs w:val="21"/>
              </w:rPr>
            </w:pPr>
            <w:r>
              <w:rPr>
                <w:rFonts w:hint="eastAsia"/>
                <w:b/>
                <w:color w:val="000000" w:themeColor="text1"/>
                <w:sz w:val="20"/>
                <w:szCs w:val="20"/>
              </w:rPr>
              <w:t>与相关方协商的情况（OHSMS填写）：</w:t>
            </w:r>
            <w:r>
              <w:rPr>
                <w:rFonts w:hint="eastAsia"/>
                <w:b w:val="0"/>
                <w:bCs/>
                <w:color w:val="000000" w:themeColor="text1"/>
                <w:sz w:val="20"/>
                <w:szCs w:val="20"/>
              </w:rPr>
              <w:t>对相关方进行了书面告知，见到相关方告知书</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00" w:firstLineChars="200"/>
              <w:rPr>
                <w:rFonts w:ascii="宋体" w:hAnsi="宋体"/>
                <w:b/>
                <w:sz w:val="21"/>
                <w:szCs w:val="21"/>
              </w:rPr>
            </w:pPr>
            <w:r>
              <w:rPr>
                <w:rFonts w:hint="eastAsia"/>
                <w:b w:val="0"/>
                <w:bCs/>
                <w:color w:val="000000" w:themeColor="text1"/>
                <w:sz w:val="20"/>
                <w:szCs w:val="20"/>
              </w:rPr>
              <w:t>公司识别关键过程：物业服务、餐饮服务、食品加工过程，对其过程进行了重点控制；需要确认的过程：物业服务、餐饮服务、餐饮消毒过程，对其进行确认。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b w:val="0"/>
                <w:bCs/>
                <w:color w:val="000000" w:themeColor="text1"/>
                <w:sz w:val="20"/>
                <w:szCs w:val="20"/>
              </w:rPr>
              <w:t>能稳定向顾客提供较满意的物业及餐饮服务。对顾客进行满意度调查，并进行了简要分析。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能对发现的不符合项及时进行纠正和控制。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val="0"/>
                <w:bCs/>
                <w:color w:val="000000" w:themeColor="text1"/>
                <w:sz w:val="20"/>
                <w:szCs w:val="20"/>
              </w:rPr>
              <w:t>对重要环境因素进行了识别（废水、粉（烟）尘排放、噪声、固废/危废的排物、火灾等噪声的排放、苗木施肥、打药），控制基本有效。对周边环境影响不大，可得到有效控制。对相关方进行了必要告知。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240" w:lineRule="exact"/>
              <w:rPr>
                <w:rFonts w:hint="eastAsia" w:ascii="宋体" w:hAnsi="宋体"/>
                <w:b/>
                <w:sz w:val="21"/>
                <w:szCs w:val="21"/>
                <w:lang w:eastAsia="zh-CN"/>
              </w:rPr>
            </w:pPr>
            <w:r>
              <w:rPr>
                <w:rFonts w:ascii="宋体" w:hAnsi="宋体"/>
                <w:b/>
                <w:sz w:val="21"/>
                <w:szCs w:val="21"/>
              </w:rPr>
              <w:t>OHSMS</w:t>
            </w:r>
            <w:r>
              <w:rPr>
                <w:rFonts w:hint="eastAsia" w:ascii="宋体" w:hAnsi="宋体"/>
                <w:b/>
                <w:sz w:val="21"/>
                <w:szCs w:val="21"/>
              </w:rPr>
              <w:t>组织对不可接受风险实施控制的结果</w:t>
            </w:r>
            <w:r>
              <w:rPr>
                <w:rFonts w:hint="eastAsia" w:ascii="宋体" w:hAnsi="宋体"/>
                <w:b/>
                <w:sz w:val="21"/>
                <w:szCs w:val="21"/>
                <w:lang w:eastAsia="zh-CN"/>
              </w:rPr>
              <w:t>：</w:t>
            </w:r>
          </w:p>
          <w:p>
            <w:pPr>
              <w:numPr>
                <w:ilvl w:val="0"/>
                <w:numId w:val="0"/>
              </w:numPr>
              <w:spacing w:line="240" w:lineRule="exact"/>
              <w:ind w:firstLine="400" w:firstLineChars="200"/>
              <w:rPr>
                <w:rFonts w:hint="eastAsia" w:ascii="宋体" w:hAnsi="宋体" w:eastAsia="宋体"/>
                <w:b/>
                <w:sz w:val="21"/>
                <w:szCs w:val="21"/>
                <w:lang w:eastAsia="zh-CN"/>
              </w:rPr>
            </w:pPr>
            <w:r>
              <w:rPr>
                <w:rFonts w:hint="eastAsia"/>
                <w:b w:val="0"/>
                <w:bCs/>
                <w:color w:val="000000" w:themeColor="text1"/>
                <w:sz w:val="20"/>
                <w:szCs w:val="20"/>
              </w:rPr>
              <w:t>对不可接受危险源进行了识别（潜在的火灾、高温中暑</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食品中毒</w:t>
            </w:r>
            <w:r>
              <w:rPr>
                <w:rFonts w:hint="eastAsia"/>
                <w:b w:val="0"/>
                <w:bCs/>
                <w:color w:val="000000" w:themeColor="text1"/>
                <w:sz w:val="20"/>
                <w:szCs w:val="20"/>
              </w:rPr>
              <w:t>、触电、车辆伤害、电梯困人及坠落），控制基本有效。目前公司不可接受危险源对公司及周边环境影响不大，可得到有效控制。对相关方进行了必要告知。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b/>
                <w:color w:val="000000" w:themeColor="text1"/>
                <w:spacing w:val="-4"/>
                <w:sz w:val="20"/>
                <w:szCs w:val="20"/>
              </w:rPr>
              <w:t xml:space="preserve"> </w:t>
            </w:r>
            <w:r>
              <w:rPr>
                <w:rFonts w:hint="eastAsia"/>
                <w:b w:val="0"/>
                <w:bCs/>
                <w:color w:val="000000" w:themeColor="text1"/>
                <w:spacing w:val="-4"/>
                <w:sz w:val="20"/>
                <w:szCs w:val="20"/>
              </w:rPr>
              <w:t>对火灾及电梯困人等突发事件等制定了应急预案，提供了火灾“应急预案演练记录”，对演练效果进行评价。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val="0"/>
                <w:bCs/>
                <w:color w:val="000000" w:themeColor="text1"/>
                <w:sz w:val="20"/>
                <w:szCs w:val="20"/>
              </w:rPr>
              <w:t>安全阀，定期进行检定，结果合格。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b w:val="0"/>
                <w:bCs/>
                <w:color w:val="000000" w:themeColor="text1"/>
                <w:sz w:val="20"/>
                <w:szCs w:val="20"/>
              </w:rPr>
              <w:t>对质量、环境、职业健康安全目标进行了考核，查到20</w:t>
            </w:r>
            <w:r>
              <w:rPr>
                <w:rFonts w:hint="eastAsia"/>
                <w:b w:val="0"/>
                <w:bCs/>
                <w:color w:val="000000" w:themeColor="text1"/>
                <w:sz w:val="20"/>
                <w:szCs w:val="20"/>
                <w:lang w:val="en-US" w:eastAsia="zh-CN"/>
              </w:rPr>
              <w:t>20</w:t>
            </w:r>
            <w:r>
              <w:rPr>
                <w:rFonts w:hint="eastAsia"/>
                <w:b w:val="0"/>
                <w:bCs/>
                <w:color w:val="000000" w:themeColor="text1"/>
                <w:sz w:val="20"/>
                <w:szCs w:val="20"/>
              </w:rPr>
              <w:t>年</w:t>
            </w:r>
            <w:r>
              <w:rPr>
                <w:rFonts w:hint="eastAsia"/>
                <w:b w:val="0"/>
                <w:bCs/>
                <w:color w:val="000000" w:themeColor="text1"/>
                <w:sz w:val="20"/>
                <w:szCs w:val="20"/>
                <w:lang w:val="en-US" w:eastAsia="zh-CN"/>
              </w:rPr>
              <w:t>前三</w:t>
            </w:r>
            <w:r>
              <w:rPr>
                <w:rFonts w:hint="eastAsia"/>
                <w:b w:val="0"/>
                <w:bCs/>
                <w:color w:val="000000" w:themeColor="text1"/>
                <w:sz w:val="20"/>
                <w:szCs w:val="20"/>
              </w:rPr>
              <w:t>季度公司及各部门完成情况，各项质量、环境、职业健康安全目标均已完成。目标具备可测量性。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b/>
                <w:color w:val="000000" w:themeColor="text1"/>
                <w:sz w:val="20"/>
                <w:szCs w:val="20"/>
              </w:rPr>
            </w:pPr>
            <w:r>
              <w:rPr>
                <w:rFonts w:hint="eastAsia" w:ascii="宋体" w:hAnsi="宋体"/>
                <w:b/>
                <w:sz w:val="21"/>
                <w:szCs w:val="21"/>
              </w:rPr>
              <w:t>顾客满意</w:t>
            </w:r>
            <w:r>
              <w:rPr>
                <w:rFonts w:hint="eastAsia" w:ascii="宋体" w:hAnsi="宋体"/>
                <w:b/>
                <w:sz w:val="21"/>
                <w:szCs w:val="21"/>
                <w:lang w:eastAsia="zh-CN"/>
              </w:rPr>
              <w:t>：</w:t>
            </w:r>
            <w:r>
              <w:rPr>
                <w:b/>
                <w:color w:val="000000" w:themeColor="text1"/>
                <w:sz w:val="20"/>
                <w:szCs w:val="20"/>
              </w:rPr>
              <w:t xml:space="preserve"> </w:t>
            </w:r>
            <w:r>
              <w:rPr>
                <w:rFonts w:hint="eastAsia"/>
                <w:b/>
                <w:color w:val="000000" w:themeColor="text1"/>
                <w:sz w:val="20"/>
                <w:szCs w:val="20"/>
              </w:rPr>
              <w:t>能稳定向顾客提供较满意的销售服务。</w:t>
            </w:r>
          </w:p>
          <w:p>
            <w:pPr>
              <w:numPr>
                <w:ilvl w:val="0"/>
                <w:numId w:val="0"/>
              </w:numPr>
              <w:spacing w:line="240" w:lineRule="exact"/>
              <w:ind w:leftChars="-50" w:firstLine="400" w:firstLineChars="200"/>
              <w:rPr>
                <w:rFonts w:hint="default" w:ascii="宋体" w:hAnsi="宋体" w:eastAsia="宋体"/>
                <w:b/>
                <w:sz w:val="21"/>
                <w:szCs w:val="21"/>
                <w:lang w:val="en-US" w:eastAsia="zh-CN"/>
              </w:rPr>
            </w:pPr>
            <w:r>
              <w:rPr>
                <w:rFonts w:hint="eastAsia"/>
                <w:b w:val="0"/>
                <w:bCs/>
                <w:color w:val="000000" w:themeColor="text1"/>
                <w:sz w:val="20"/>
                <w:szCs w:val="20"/>
              </w:rPr>
              <w:t>对顾客进行满意度调查，并进行了简要分析。</w:t>
            </w:r>
            <w:r>
              <w:rPr>
                <w:rFonts w:hint="eastAsia"/>
                <w:b w:val="0"/>
                <w:bCs/>
                <w:color w:val="000000" w:themeColor="text1"/>
                <w:sz w:val="20"/>
                <w:szCs w:val="20"/>
                <w:lang w:val="en-US" w:eastAsia="zh-CN"/>
              </w:rPr>
              <w:t>顾客满意度为98%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ind w:firstLine="400" w:firstLineChars="200"/>
              <w:rPr>
                <w:rFonts w:ascii="宋体" w:hAnsi="宋体"/>
                <w:b/>
                <w:sz w:val="21"/>
                <w:szCs w:val="21"/>
              </w:rPr>
            </w:pPr>
            <w:r>
              <w:rPr>
                <w:rFonts w:hint="eastAsia" w:ascii="Times New Roman" w:hAnsi="Times New Roman" w:eastAsia="宋体" w:cs="Times New Roman"/>
                <w:b w:val="0"/>
                <w:bCs/>
                <w:color w:val="000000" w:themeColor="text1"/>
                <w:sz w:val="20"/>
                <w:szCs w:val="20"/>
              </w:rPr>
              <w:t>本年度内审已按计划实施，内审策划审核方案中考虑了拟审核的过程和区域的状况和重要性，内审时间20</w:t>
            </w:r>
            <w:r>
              <w:rPr>
                <w:rFonts w:hint="eastAsia" w:ascii="Times New Roman" w:hAnsi="Times New Roman" w:eastAsia="宋体" w:cs="Times New Roman"/>
                <w:b w:val="0"/>
                <w:bCs/>
                <w:color w:val="000000" w:themeColor="text1"/>
                <w:sz w:val="20"/>
                <w:szCs w:val="20"/>
                <w:lang w:val="en-US" w:eastAsia="zh-CN"/>
              </w:rPr>
              <w:t>20</w:t>
            </w:r>
            <w:r>
              <w:rPr>
                <w:rFonts w:hint="eastAsia" w:ascii="Times New Roman" w:hAnsi="Times New Roman" w:eastAsia="宋体" w:cs="Times New Roman"/>
                <w:b w:val="0"/>
                <w:bCs/>
                <w:color w:val="000000" w:themeColor="text1"/>
                <w:sz w:val="20"/>
                <w:szCs w:val="20"/>
              </w:rPr>
              <w:t>.</w:t>
            </w:r>
            <w:r>
              <w:rPr>
                <w:rFonts w:hint="eastAsia" w:ascii="Times New Roman" w:hAnsi="Times New Roman" w:eastAsia="宋体" w:cs="Times New Roman"/>
                <w:b w:val="0"/>
                <w:bCs/>
                <w:color w:val="000000" w:themeColor="text1"/>
                <w:sz w:val="20"/>
                <w:szCs w:val="20"/>
                <w:lang w:val="en-US" w:eastAsia="zh-CN"/>
              </w:rPr>
              <w:t>7</w:t>
            </w:r>
            <w:r>
              <w:rPr>
                <w:rFonts w:hint="eastAsia" w:ascii="Times New Roman" w:hAnsi="Times New Roman" w:eastAsia="宋体" w:cs="Times New Roman"/>
                <w:b w:val="0"/>
                <w:bCs/>
                <w:color w:val="000000" w:themeColor="text1"/>
                <w:sz w:val="20"/>
                <w:szCs w:val="20"/>
              </w:rPr>
              <w:t>.</w:t>
            </w:r>
            <w:r>
              <w:rPr>
                <w:rFonts w:hint="eastAsia" w:ascii="Times New Roman" w:hAnsi="Times New Roman" w:eastAsia="宋体" w:cs="Times New Roman"/>
                <w:b w:val="0"/>
                <w:bCs/>
                <w:color w:val="000000" w:themeColor="text1"/>
                <w:sz w:val="20"/>
                <w:szCs w:val="20"/>
                <w:lang w:val="en-US" w:eastAsia="zh-CN"/>
              </w:rPr>
              <w:t>14</w:t>
            </w:r>
            <w:r>
              <w:rPr>
                <w:rFonts w:hint="eastAsia" w:ascii="Times New Roman" w:hAnsi="Times New Roman" w:eastAsia="宋体" w:cs="Times New Roman"/>
                <w:b w:val="0"/>
                <w:bCs/>
                <w:color w:val="000000" w:themeColor="text1"/>
                <w:sz w:val="20"/>
                <w:szCs w:val="20"/>
              </w:rPr>
              <w:t>-</w:t>
            </w:r>
            <w:r>
              <w:rPr>
                <w:rFonts w:hint="eastAsia" w:ascii="Times New Roman" w:hAnsi="Times New Roman" w:eastAsia="宋体" w:cs="Times New Roman"/>
                <w:b w:val="0"/>
                <w:bCs/>
                <w:color w:val="000000" w:themeColor="text1"/>
                <w:sz w:val="20"/>
                <w:szCs w:val="20"/>
                <w:lang w:val="en-US" w:eastAsia="zh-CN"/>
              </w:rPr>
              <w:t>15</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lang w:val="en-US" w:eastAsia="zh-CN"/>
              </w:rPr>
              <w:t>1</w:t>
            </w:r>
            <w:r>
              <w:rPr>
                <w:rFonts w:hint="eastAsia" w:ascii="Times New Roman" w:hAnsi="Times New Roman" w:eastAsia="宋体" w:cs="Times New Roman"/>
                <w:b w:val="0"/>
                <w:bCs/>
                <w:color w:val="000000" w:themeColor="text1"/>
                <w:sz w:val="20"/>
                <w:szCs w:val="20"/>
              </w:rPr>
              <w:t>项不符合，</w:t>
            </w:r>
            <w:r>
              <w:rPr>
                <w:rFonts w:hint="eastAsia" w:ascii="Times New Roman" w:hAnsi="Times New Roman" w:eastAsia="宋体" w:cs="Times New Roman"/>
                <w:b w:val="0"/>
                <w:bCs/>
                <w:color w:val="000000" w:themeColor="text1"/>
                <w:sz w:val="20"/>
                <w:szCs w:val="20"/>
                <w:lang w:eastAsia="zh-CN"/>
              </w:rPr>
              <w:t>不符合条款：</w:t>
            </w:r>
            <w:r>
              <w:rPr>
                <w:rFonts w:hint="eastAsia" w:ascii="Times New Roman" w:hAnsi="Times New Roman" w:eastAsia="宋体" w:cs="Times New Roman"/>
                <w:b w:val="0"/>
                <w:bCs/>
                <w:color w:val="000000" w:themeColor="text1"/>
                <w:sz w:val="20"/>
                <w:szCs w:val="20"/>
              </w:rPr>
              <w:t>不符合ISO9001:2015标准</w:t>
            </w:r>
            <w:r>
              <w:rPr>
                <w:rFonts w:hint="eastAsia" w:ascii="Times New Roman" w:hAnsi="Times New Roman" w:eastAsia="宋体" w:cs="Times New Roman"/>
                <w:b w:val="0"/>
                <w:bCs/>
                <w:color w:val="000000" w:themeColor="text1"/>
                <w:sz w:val="20"/>
                <w:szCs w:val="20"/>
                <w:lang w:val="en-US" w:eastAsia="zh-CN"/>
              </w:rPr>
              <w:t>8.4</w:t>
            </w:r>
            <w:r>
              <w:rPr>
                <w:rFonts w:hint="eastAsia" w:ascii="Times New Roman" w:hAnsi="Times New Roman" w:eastAsia="宋体" w:cs="Times New Roman"/>
                <w:b w:val="0"/>
                <w:bCs/>
                <w:color w:val="000000" w:themeColor="text1"/>
                <w:sz w:val="20"/>
                <w:szCs w:val="20"/>
              </w:rPr>
              <w:t>条款</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rPr>
              <w:t>已在规定期限内整改关闭。内审结论：体系运行基本有效。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00" w:firstLineChars="100"/>
              <w:rPr>
                <w:rFonts w:ascii="宋体" w:hAnsi="宋体"/>
                <w:b/>
                <w:sz w:val="21"/>
                <w:szCs w:val="21"/>
              </w:rPr>
            </w:pP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20</w:t>
            </w:r>
            <w:r>
              <w:rPr>
                <w:rFonts w:hint="eastAsia"/>
                <w:b w:val="0"/>
                <w:bCs/>
                <w:color w:val="000000" w:themeColor="text1"/>
                <w:sz w:val="20"/>
                <w:szCs w:val="20"/>
              </w:rPr>
              <w:t>年0</w:t>
            </w:r>
            <w:r>
              <w:rPr>
                <w:b w:val="0"/>
                <w:bCs/>
                <w:color w:val="000000" w:themeColor="text1"/>
                <w:sz w:val="20"/>
                <w:szCs w:val="20"/>
              </w:rPr>
              <w:t>8</w:t>
            </w:r>
            <w:r>
              <w:rPr>
                <w:rFonts w:hint="eastAsia"/>
                <w:b w:val="0"/>
                <w:bCs/>
                <w:color w:val="000000" w:themeColor="text1"/>
                <w:sz w:val="20"/>
                <w:szCs w:val="20"/>
              </w:rPr>
              <w:t>月</w:t>
            </w:r>
            <w:r>
              <w:rPr>
                <w:rFonts w:hint="eastAsia"/>
                <w:b w:val="0"/>
                <w:bCs/>
                <w:color w:val="000000" w:themeColor="text1"/>
                <w:sz w:val="20"/>
                <w:szCs w:val="20"/>
                <w:lang w:val="en-US" w:eastAsia="zh-CN"/>
              </w:rPr>
              <w:t>1</w:t>
            </w:r>
            <w:r>
              <w:rPr>
                <w:rFonts w:hint="eastAsia"/>
                <w:b w:val="0"/>
                <w:bCs/>
                <w:color w:val="000000" w:themeColor="text1"/>
                <w:sz w:val="20"/>
                <w:szCs w:val="20"/>
              </w:rPr>
              <w:t>日，管理评审考虑了体系变更需求，评审了方针有效、适宜和充分。制定了</w:t>
            </w:r>
            <w:r>
              <w:rPr>
                <w:rFonts w:hint="eastAsia"/>
                <w:b w:val="0"/>
                <w:bCs/>
                <w:color w:val="000000" w:themeColor="text1"/>
                <w:sz w:val="20"/>
                <w:szCs w:val="20"/>
                <w:lang w:val="en-US" w:eastAsia="zh-CN"/>
              </w:rPr>
              <w:t>2个</w:t>
            </w:r>
            <w:r>
              <w:rPr>
                <w:rFonts w:hint="eastAsia"/>
                <w:b w:val="0"/>
                <w:bCs/>
                <w:color w:val="000000" w:themeColor="text1"/>
                <w:sz w:val="20"/>
                <w:szCs w:val="20"/>
              </w:rPr>
              <w:t>改进措施，</w:t>
            </w:r>
            <w:r>
              <w:rPr>
                <w:rFonts w:hint="eastAsia"/>
                <w:b w:val="0"/>
                <w:bCs/>
                <w:color w:val="000000" w:themeColor="text1"/>
                <w:sz w:val="20"/>
                <w:szCs w:val="20"/>
                <w:lang w:val="en-US" w:eastAsia="zh-CN"/>
              </w:rPr>
              <w:t>改进措施正在实施中，</w:t>
            </w:r>
            <w:r>
              <w:rPr>
                <w:rFonts w:hint="eastAsia"/>
                <w:b w:val="0"/>
                <w:bCs/>
                <w:color w:val="000000" w:themeColor="text1"/>
                <w:sz w:val="20"/>
                <w:szCs w:val="20"/>
              </w:rPr>
              <w:t>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firstLine="200" w:firstLineChars="100"/>
              <w:rPr>
                <w:rFonts w:ascii="宋体" w:hAnsi="宋体"/>
                <w:b/>
                <w:sz w:val="21"/>
                <w:szCs w:val="21"/>
              </w:rPr>
            </w:pPr>
            <w:r>
              <w:rPr>
                <w:rFonts w:hint="eastAsia"/>
                <w:b w:val="0"/>
                <w:bCs/>
                <w:color w:val="000000" w:themeColor="text1"/>
                <w:sz w:val="20"/>
                <w:szCs w:val="20"/>
              </w:rPr>
              <w:t>该公司主要污染物是废水、粉（烟）尘排放、噪声、固废/危废的排物、火灾等噪声的排放、苗木施肥、打药，公司定期对防止火灾的灭火器和消防栓等设施协同物业检查有效性及废纸、墨盒等固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400" w:firstLineChars="200"/>
              <w:rPr>
                <w:rFonts w:ascii="宋体" w:hAnsi="宋体"/>
                <w:b/>
                <w:sz w:val="21"/>
                <w:szCs w:val="21"/>
              </w:rPr>
            </w:pPr>
            <w:r>
              <w:rPr>
                <w:rFonts w:hint="eastAsia"/>
                <w:b w:val="0"/>
                <w:bCs/>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ind w:firstLine="400" w:firstLineChars="200"/>
              <w:rPr>
                <w:rFonts w:ascii="宋体" w:hAnsi="宋体"/>
                <w:b/>
                <w:sz w:val="21"/>
                <w:szCs w:val="21"/>
              </w:rPr>
            </w:pPr>
            <w:r>
              <w:rPr>
                <w:rFonts w:hint="eastAsia"/>
                <w:b w:val="0"/>
                <w:bCs/>
                <w:color w:val="000000" w:themeColor="text1"/>
                <w:sz w:val="20"/>
                <w:szCs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default"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对内审</w:t>
            </w:r>
            <w:r>
              <w:rPr>
                <w:rFonts w:hint="eastAsia"/>
                <w:b w:val="0"/>
                <w:bCs/>
                <w:color w:val="000000" w:themeColor="text1"/>
                <w:sz w:val="20"/>
                <w:szCs w:val="20"/>
                <w:lang w:val="en-US" w:eastAsia="zh-CN"/>
              </w:rPr>
              <w:t>及外审</w:t>
            </w:r>
            <w:r>
              <w:rPr>
                <w:rFonts w:hint="eastAsia"/>
                <w:b w:val="0"/>
                <w:bCs/>
                <w:color w:val="000000" w:themeColor="text1"/>
                <w:sz w:val="20"/>
                <w:szCs w:val="20"/>
              </w:rPr>
              <w:t>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before="120" w:line="360" w:lineRule="auto"/>
              <w:rPr>
                <w:rFonts w:hint="default" w:ascii="Times New Roman" w:hAnsi="Times New Roman" w:eastAsia="宋体" w:cs="Times New Roman"/>
                <w:b w:val="0"/>
                <w:bCs/>
                <w:color w:val="000000" w:themeColor="text1"/>
                <w:sz w:val="20"/>
                <w:szCs w:val="20"/>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Times New Roman" w:hAnsi="Times New Roman" w:eastAsia="宋体" w:cs="Times New Roman"/>
                <w:b w:val="0"/>
                <w:bCs/>
                <w:color w:val="000000" w:themeColor="text1"/>
                <w:sz w:val="20"/>
                <w:szCs w:val="20"/>
                <w:lang w:val="en-US" w:eastAsia="zh-CN"/>
              </w:rPr>
              <w:t>上次</w:t>
            </w:r>
            <w:r>
              <w:rPr>
                <w:rFonts w:hint="eastAsia" w:ascii="Times New Roman" w:hAnsi="Times New Roman" w:eastAsia="宋体" w:cs="Times New Roman"/>
                <w:b w:val="0"/>
                <w:bCs/>
                <w:color w:val="000000" w:themeColor="text1"/>
                <w:sz w:val="20"/>
                <w:szCs w:val="20"/>
              </w:rPr>
              <w:t>不符合事实描述:</w:t>
            </w:r>
            <w:r>
              <w:rPr>
                <w:rFonts w:hint="eastAsia" w:ascii="Times New Roman" w:hAnsi="Times New Roman" w:eastAsia="宋体" w:cs="Times New Roman"/>
                <w:b w:val="0"/>
                <w:bCs/>
                <w:color w:val="000000" w:themeColor="text1"/>
                <w:sz w:val="20"/>
                <w:szCs w:val="20"/>
                <w:lang w:val="en-US" w:eastAsia="zh-CN"/>
              </w:rPr>
              <w:t>a</w:t>
            </w:r>
            <w:r>
              <w:rPr>
                <w:rFonts w:hint="eastAsia" w:ascii="Times New Roman" w:hAnsi="Times New Roman" w:eastAsia="宋体" w:cs="Times New Roman"/>
                <w:b w:val="0"/>
                <w:bCs/>
                <w:color w:val="000000" w:themeColor="text1"/>
                <w:sz w:val="20"/>
                <w:szCs w:val="20"/>
              </w:rPr>
              <w:t>查餐饮管理部未按照规定为后厨提供应急医药包，</w:t>
            </w:r>
            <w:r>
              <w:rPr>
                <w:rFonts w:hint="eastAsia" w:ascii="Times New Roman" w:hAnsi="Times New Roman" w:eastAsia="宋体" w:cs="Times New Roman"/>
                <w:b w:val="0"/>
                <w:bCs/>
                <w:color w:val="000000" w:themeColor="text1"/>
                <w:sz w:val="20"/>
                <w:szCs w:val="20"/>
                <w:lang w:val="en-US" w:eastAsia="zh-CN"/>
              </w:rPr>
              <w:t>经在餐饮管理部现场检查，已经按照规定提供了应急医药包。</w:t>
            </w:r>
          </w:p>
          <w:p>
            <w:pPr>
              <w:spacing w:line="240" w:lineRule="exact"/>
              <w:rPr>
                <w:rFonts w:hint="eastAsia" w:ascii="宋体" w:hAnsi="宋体" w:eastAsia="宋体"/>
                <w:b/>
                <w:sz w:val="21"/>
                <w:szCs w:val="21"/>
                <w:lang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2"/>
              <w:ind w:firstLine="400" w:firstLineChars="200"/>
              <w:rPr>
                <w:rFonts w:ascii="宋体" w:hAnsi="宋体"/>
                <w:b/>
                <w:szCs w:val="21"/>
              </w:rPr>
            </w:pPr>
            <w:r>
              <w:rPr>
                <w:rFonts w:hint="eastAsia" w:ascii="Times New Roman" w:hAnsi="Times New Roman" w:eastAsia="宋体" w:cs="Times New Roman"/>
                <w:b w:val="0"/>
                <w:bCs/>
                <w:color w:val="000000" w:themeColor="text1"/>
                <w:spacing w:val="0"/>
                <w:kern w:val="2"/>
                <w:sz w:val="20"/>
                <w:szCs w:val="20"/>
                <w:lang w:val="en-US" w:eastAsia="zh-CN" w:bidi="ar-SA"/>
              </w:rPr>
              <w:t>该公司在实施的质量、环境、职业健康安全管理体系过程中基本符合标准要求，对可能存在的重要风险基本可以得到有效控制，服务质量稳定，没有出现过质量、环境和职业健康安全事故以及顾客投诉等事件，该公司初步建立了自我完善和自我改进机制，管理体系运行基本有效。没有开具不符合项，同意推荐该公司质量、环境、管理体系保持注册资格。</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bookmarkStart w:id="26" w:name="_GoBack"/>
      <w:bookmarkEnd w:id="26"/>
    </w:p>
    <w:p>
      <w:pPr>
        <w:tabs>
          <w:tab w:val="left" w:pos="645"/>
        </w:tabs>
        <w:spacing w:after="163" w:afterLines="50" w:line="360" w:lineRule="exact"/>
        <w:rPr>
          <w:b/>
          <w:sz w:val="16"/>
          <w:szCs w:val="16"/>
        </w:rPr>
      </w:pPr>
      <w:r>
        <w:drawing>
          <wp:anchor distT="0" distB="0" distL="114300" distR="114300" simplePos="0" relativeHeight="251672576" behindDoc="1" locked="0" layoutInCell="1" allowOverlap="1">
            <wp:simplePos x="0" y="0"/>
            <wp:positionH relativeFrom="column">
              <wp:posOffset>1856740</wp:posOffset>
            </wp:positionH>
            <wp:positionV relativeFrom="paragraph">
              <wp:posOffset>635</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r>
        <w:rPr>
          <w:rFonts w:hint="eastAsia" w:eastAsia="宋体"/>
          <w:b/>
          <w:sz w:val="21"/>
          <w:lang w:eastAsia="zh-CN"/>
        </w:rPr>
        <w:drawing>
          <wp:anchor distT="0" distB="0" distL="114300" distR="114300" simplePos="0" relativeHeight="251689984" behindDoc="0" locked="0" layoutInCell="1" allowOverlap="1">
            <wp:simplePos x="0" y="0"/>
            <wp:positionH relativeFrom="column">
              <wp:posOffset>2707640</wp:posOffset>
            </wp:positionH>
            <wp:positionV relativeFrom="paragraph">
              <wp:posOffset>-281940</wp:posOffset>
            </wp:positionV>
            <wp:extent cx="679450" cy="438785"/>
            <wp:effectExtent l="0" t="0" r="6350" b="5715"/>
            <wp:wrapSquare wrapText="bothSides"/>
            <wp:docPr id="3" name="图片 3" descr="e6af64acdf08586eb6d182b3ee9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af64acdf08586eb6d182b3ee9fa4b"/>
                    <pic:cNvPicPr>
                      <a:picLocks noChangeAspect="1"/>
                    </pic:cNvPicPr>
                  </pic:nvPicPr>
                  <pic:blipFill>
                    <a:blip r:embed="rId7">
                      <a:lum contrast="42000"/>
                    </a:blip>
                    <a:stretch>
                      <a:fillRect/>
                    </a:stretch>
                  </pic:blipFill>
                  <pic:spPr>
                    <a:xfrm>
                      <a:off x="0" y="0"/>
                      <a:ext cx="679450" cy="438785"/>
                    </a:xfrm>
                    <a:prstGeom prst="rect">
                      <a:avLst/>
                    </a:prstGeom>
                  </pic:spPr>
                </pic:pic>
              </a:graphicData>
            </a:graphic>
          </wp:anchor>
        </w:drawing>
      </w:r>
    </w:p>
    <w:p>
      <w:pPr>
        <w:snapToGrid w:val="0"/>
        <w:spacing w:before="163" w:beforeLines="50" w:line="320" w:lineRule="exact"/>
        <w:ind w:firstLine="653" w:firstLineChars="250"/>
        <w:rPr>
          <w:b/>
          <w:sz w:val="21"/>
        </w:rPr>
      </w:pPr>
      <w:r>
        <w:rPr>
          <w:rFonts w:hint="eastAsia"/>
          <w:b/>
          <w:color w:val="000000" w:themeColor="text1"/>
          <w:sz w:val="26"/>
          <w:szCs w:val="26"/>
        </w:rPr>
        <w:drawing>
          <wp:anchor distT="0" distB="0" distL="114300" distR="114300" simplePos="0" relativeHeight="251673600" behindDoc="0" locked="0" layoutInCell="1" allowOverlap="1">
            <wp:simplePos x="0" y="0"/>
            <wp:positionH relativeFrom="column">
              <wp:posOffset>2575560</wp:posOffset>
            </wp:positionH>
            <wp:positionV relativeFrom="paragraph">
              <wp:posOffset>46355</wp:posOffset>
            </wp:positionV>
            <wp:extent cx="700405" cy="403860"/>
            <wp:effectExtent l="0" t="0" r="10795" b="2540"/>
            <wp:wrapSquare wrapText="bothSides"/>
            <wp:docPr id="5" name="图片 5"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fdd8fbb2bd137f321bf27109001bf"/>
                    <pic:cNvPicPr>
                      <a:picLocks noChangeAspect="1"/>
                    </pic:cNvPicPr>
                  </pic:nvPicPr>
                  <pic:blipFill>
                    <a:blip r:embed="rId8" cstate="print"/>
                    <a:stretch>
                      <a:fillRect/>
                    </a:stretch>
                  </pic:blipFill>
                  <pic:spPr>
                    <a:xfrm>
                      <a:off x="0" y="0"/>
                      <a:ext cx="700405" cy="40386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eastAsia="宋体"/>
          <w:b/>
          <w:sz w:val="21"/>
          <w:szCs w:val="21"/>
          <w:lang w:eastAsia="zh-CN"/>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rPr>
      </w:pPr>
      <w:r>
        <w:drawing>
          <wp:anchor distT="0" distB="0" distL="114300" distR="114300" simplePos="0" relativeHeight="251688960" behindDoc="1" locked="0" layoutInCell="1" allowOverlap="1">
            <wp:simplePos x="0" y="0"/>
            <wp:positionH relativeFrom="column">
              <wp:posOffset>1344295</wp:posOffset>
            </wp:positionH>
            <wp:positionV relativeFrom="paragraph">
              <wp:posOffset>59055</wp:posOffset>
            </wp:positionV>
            <wp:extent cx="744855" cy="508000"/>
            <wp:effectExtent l="0" t="0" r="4445" b="0"/>
            <wp:wrapTight wrapText="bothSides">
              <wp:wrapPolygon>
                <wp:start x="0" y="0"/>
                <wp:lineTo x="0" y="21060"/>
                <wp:lineTo x="21361" y="21060"/>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5"/>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5"/>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CDDBD"/>
    <w:multiLevelType w:val="singleLevel"/>
    <w:tmpl w:val="962CDDBD"/>
    <w:lvl w:ilvl="0" w:tentative="0">
      <w:start w:val="5"/>
      <w:numFmt w:val="decimal"/>
      <w:suff w:val="space"/>
      <w:lvlText w:val="%1."/>
      <w:lvlJc w:val="left"/>
    </w:lvl>
  </w:abstractNum>
  <w:abstractNum w:abstractNumId="1">
    <w:nsid w:val="BD574389"/>
    <w:multiLevelType w:val="singleLevel"/>
    <w:tmpl w:val="BD574389"/>
    <w:lvl w:ilvl="0" w:tentative="0">
      <w:start w:val="8"/>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0306FA0"/>
    <w:multiLevelType w:val="singleLevel"/>
    <w:tmpl w:val="20306FA0"/>
    <w:lvl w:ilvl="0" w:tentative="0">
      <w:start w:val="2"/>
      <w:numFmt w:val="decimal"/>
      <w:lvlText w:val="%1."/>
      <w:lvlJc w:val="left"/>
      <w:pPr>
        <w:tabs>
          <w:tab w:val="left" w:pos="312"/>
        </w:tabs>
      </w:pPr>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CE5354"/>
    <w:rsid w:val="28C905D9"/>
    <w:rsid w:val="4FB2033D"/>
    <w:rsid w:val="55225E59"/>
    <w:rsid w:val="63892BC1"/>
    <w:rsid w:val="64785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2020-11-09T09:39:09Z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