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30"/>
        <w:gridCol w:w="312"/>
        <w:gridCol w:w="75"/>
        <w:gridCol w:w="101"/>
        <w:gridCol w:w="589"/>
        <w:gridCol w:w="261"/>
        <w:gridCol w:w="196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重庆初刻智能机械设备有限公司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重庆市北碚区城南云逸路17号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肖仁敏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023-86023033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400700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2741698237@qq.com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bookmarkStart w:id="17" w:name="_GoBack"/>
            <w:r>
              <w:rPr>
                <w:sz w:val="20"/>
              </w:rPr>
              <w:t>机械设备（打标机、焊接机、清洗机）的生产</w:t>
            </w:r>
            <w:bookmarkEnd w:id="13"/>
            <w:bookmarkEnd w:id="17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18.02.06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2020年11月03日 上午至2020年11月03日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3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18.02.06</w:t>
            </w:r>
          </w:p>
        </w:tc>
        <w:tc>
          <w:tcPr>
            <w:tcW w:w="153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9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3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2020年11月0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2020年11月0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2020年11月0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2020</w:t>
            </w:r>
            <w:r>
              <w:rPr>
                <w:rFonts w:hint="eastAsia" w:ascii="宋体" w:hAnsi="宋体"/>
                <w:color w:val="auto"/>
                <w:szCs w:val="22"/>
              </w:rPr>
              <w:t>年</w:t>
            </w: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Cs w:val="22"/>
              </w:rPr>
              <w:t>月</w:t>
            </w: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2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7.4沟通； 总则；9.1.1监测、分析和评价总则；9.3管理评审；10.1改进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生产部：张心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7.1.5监视和测量资源；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8.1运行策划和控制； 8.3设计开发控制；8.5.1生产和服务提供的控制；8.5.2标识和可追溯性；8.5.3顾客或外部供方的财产；8.5.4防护；8.5.6更改控制8.6产品和服务放行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5.3组织的角色、职责和权限；6.2质量目标及其实现的策划；7.1.2人员；7.1.6组织知识；7.2能力；7.3意识；7.4沟通；7.5文件化信息；9.1.3分析和评价；9.2内部审核；10.2不合格和纠正措施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3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16：30-17：00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）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E91E3E"/>
    <w:rsid w:val="633A1C4A"/>
    <w:rsid w:val="744741F2"/>
    <w:rsid w:val="77821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2020-10-30T13:38:04Z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