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0" t="0" r="17780" b="1778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成都榆善劳务有限公司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sym w:font="Wingdings 2" w:char="00A3"/>
      </w:r>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1" w:name="S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28.02.00,28.04.02,28.07.03,28.09.02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2" w:name="审核依据"/>
      <w:r>
        <w:rPr>
          <w:rFonts w:hint="eastAsia" w:ascii="宋体" w:hAnsi="宋体"/>
          <w:b/>
          <w:color w:val="000000" w:themeColor="text1"/>
          <w:spacing w:val="-10"/>
          <w:sz w:val="20"/>
          <w:szCs w:val="20"/>
        </w:rPr>
        <w:t>GB/T19001-2016/ISO9001:2015和GB/T50430-2017</w:t>
      </w:r>
      <w:bookmarkEnd w:id="2"/>
    </w:p>
    <w:p>
      <w:pPr>
        <w:ind w:left="3" w:leftChars="-400" w:hanging="843" w:hangingChars="323"/>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3" w:name="组织名称Add1"/>
            <w:r>
              <w:rPr>
                <w:rFonts w:ascii="宋体" w:hAnsi="宋体"/>
                <w:b/>
                <w:color w:val="000000" w:themeColor="text1"/>
                <w:sz w:val="20"/>
                <w:szCs w:val="20"/>
              </w:rPr>
              <w:t>成都榆善劳务有限公司</w:t>
            </w:r>
            <w:bookmarkEnd w:id="3"/>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4" w:name="企业人数"/>
            <w:r>
              <w:rPr>
                <w:rFonts w:ascii="宋体" w:hAnsi="宋体"/>
                <w:b/>
                <w:color w:val="000000" w:themeColor="text1"/>
                <w:sz w:val="20"/>
                <w:szCs w:val="20"/>
              </w:rPr>
              <w:t>60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5" w:name="注册地址"/>
            <w:r>
              <w:rPr>
                <w:rFonts w:ascii="宋体" w:hAnsi="宋体"/>
                <w:b/>
                <w:color w:val="000000" w:themeColor="text1"/>
                <w:sz w:val="20"/>
                <w:szCs w:val="20"/>
              </w:rPr>
              <w:t>成都高新区天华路299号10栋11层6号</w:t>
            </w:r>
            <w:bookmarkEnd w:id="5"/>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6" w:name="注册邮编"/>
            <w:r>
              <w:rPr>
                <w:rFonts w:ascii="宋体" w:hAnsi="宋体"/>
                <w:b/>
                <w:color w:val="000000" w:themeColor="text1"/>
                <w:spacing w:val="-20"/>
                <w:sz w:val="20"/>
                <w:szCs w:val="20"/>
              </w:rPr>
              <w:t>610041</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7" w:name="办公地址"/>
            <w:r>
              <w:rPr>
                <w:rFonts w:ascii="宋体" w:hAnsi="宋体"/>
                <w:b/>
                <w:color w:val="000000" w:themeColor="text1"/>
                <w:sz w:val="20"/>
                <w:szCs w:val="20"/>
              </w:rPr>
              <w:t>成都高新区天华路299号10栋11层6号</w:t>
            </w:r>
            <w:bookmarkEnd w:id="7"/>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8" w:name="办公邮编"/>
            <w:r>
              <w:rPr>
                <w:rFonts w:ascii="宋体" w:hAnsi="宋体"/>
                <w:b/>
                <w:color w:val="000000" w:themeColor="text1"/>
                <w:sz w:val="20"/>
                <w:szCs w:val="20"/>
              </w:rPr>
              <w:t>610041</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9" w:name="联系人"/>
            <w:r>
              <w:rPr>
                <w:rFonts w:ascii="宋体" w:hAnsi="宋体"/>
                <w:b/>
                <w:color w:val="000000" w:themeColor="text1"/>
                <w:sz w:val="20"/>
                <w:szCs w:val="20"/>
              </w:rPr>
              <w:t>张正</w:t>
            </w:r>
            <w:bookmarkEnd w:id="9"/>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0" w:name="联系人电话"/>
            <w:r>
              <w:rPr>
                <w:rFonts w:ascii="宋体" w:hAnsi="宋体"/>
                <w:b/>
                <w:color w:val="000000" w:themeColor="text1"/>
                <w:sz w:val="20"/>
                <w:szCs w:val="20"/>
              </w:rPr>
              <w:t>15503232345</w:t>
            </w:r>
            <w:bookmarkEnd w:id="10"/>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2" w:name="法人"/>
            <w:r>
              <w:rPr>
                <w:rFonts w:ascii="宋体" w:hAnsi="宋体"/>
                <w:b/>
                <w:color w:val="000000" w:themeColor="text1"/>
                <w:sz w:val="20"/>
                <w:szCs w:val="20"/>
              </w:rPr>
              <w:t>李岩</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3" w:name="最高管理者"/>
            <w:bookmarkEnd w:id="13"/>
            <w:r>
              <w:rPr>
                <w:rFonts w:ascii="宋体" w:hAnsi="宋体"/>
                <w:b/>
                <w:color w:val="000000" w:themeColor="text1"/>
                <w:sz w:val="20"/>
                <w:szCs w:val="20"/>
              </w:rPr>
              <w:t>李岩</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4" w:name="管理者代表"/>
            <w:r>
              <w:rPr>
                <w:rFonts w:ascii="宋体" w:hAnsi="宋体"/>
                <w:b/>
                <w:color w:val="000000" w:themeColor="text1"/>
                <w:sz w:val="20"/>
                <w:szCs w:val="20"/>
              </w:rPr>
              <w:t>姚存侠</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5" w:name="审核范围"/>
            <w:r>
              <w:rPr>
                <w:rFonts w:hint="eastAsia" w:ascii="宋体" w:hAnsi="宋体"/>
                <w:b/>
                <w:color w:val="000000" w:themeColor="text1"/>
                <w:sz w:val="20"/>
                <w:szCs w:val="20"/>
                <w:lang w:val="en-US" w:eastAsia="zh-CN"/>
              </w:rPr>
              <w:t>EC：</w:t>
            </w:r>
            <w:r>
              <w:rPr>
                <w:rFonts w:ascii="宋体" w:hAnsi="宋体"/>
                <w:b/>
                <w:color w:val="000000" w:themeColor="text1"/>
                <w:sz w:val="20"/>
                <w:szCs w:val="20"/>
              </w:rPr>
              <w:t>资质范围内的建筑工程总承包、电力工程施工总承包、钢结构工程专业承包、建筑机电安装工程专业承包</w:t>
            </w:r>
            <w:bookmarkEnd w:id="15"/>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6" w:name="专业代码"/>
            <w:r>
              <w:rPr>
                <w:rFonts w:ascii="宋体" w:hAnsi="宋体"/>
                <w:b/>
                <w:color w:val="000000" w:themeColor="text1"/>
                <w:sz w:val="20"/>
                <w:szCs w:val="20"/>
              </w:rPr>
              <w:t>28.02.00;28.04.02;28.07.03;28.09.02</w:t>
            </w:r>
            <w:bookmarkEnd w:id="16"/>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7" w:name="体系运行时间"/>
            <w:r>
              <w:rPr>
                <w:rFonts w:ascii="宋体" w:hAnsi="宋体"/>
                <w:b/>
                <w:color w:val="000000" w:themeColor="text1"/>
                <w:sz w:val="20"/>
                <w:szCs w:val="20"/>
              </w:rPr>
              <w:t>2020-01-01 0:00:00</w:t>
            </w:r>
            <w:bookmarkEnd w:id="17"/>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8221"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jc w:val="center"/>
              <w:rPr>
                <w:rFonts w:ascii="宋体" w:hAnsi="宋体"/>
                <w:b/>
                <w:color w:val="000000" w:themeColor="text1"/>
                <w:szCs w:val="21"/>
              </w:rPr>
            </w:pPr>
            <w:r>
              <w:rPr>
                <w:rFonts w:ascii="宋体" w:hAnsi="宋体"/>
                <w:b/>
                <w:color w:val="000000" w:themeColor="text1"/>
                <w:szCs w:val="21"/>
              </w:rPr>
              <w:t>管理层</w:t>
            </w:r>
          </w:p>
        </w:tc>
        <w:tc>
          <w:tcPr>
            <w:tcW w:w="8221" w:type="dxa"/>
          </w:tcPr>
          <w:p>
            <w:pPr>
              <w:spacing w:line="300" w:lineRule="exact"/>
              <w:rPr>
                <w:rFonts w:asciiTheme="minorEastAsia" w:hAnsiTheme="minorEastAsia" w:eastAsiaTheme="minorEastAsia"/>
                <w:b/>
                <w:bCs/>
                <w:color w:val="000000" w:themeColor="text1"/>
                <w:szCs w:val="21"/>
                <w:highlight w:val="none"/>
              </w:rPr>
            </w:pPr>
            <w:r>
              <w:rPr>
                <w:rFonts w:hint="eastAsia" w:asciiTheme="minorEastAsia" w:hAnsiTheme="minorEastAsia" w:eastAsiaTheme="minorEastAsia"/>
                <w:b/>
                <w:bCs/>
                <w:color w:val="000000" w:themeColor="text1"/>
                <w:szCs w:val="21"/>
                <w:highlight w:val="none"/>
              </w:rPr>
              <w:t>与管理层有关的质量管理活动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jc w:val="center"/>
              <w:rPr>
                <w:rFonts w:ascii="宋体" w:hAnsi="宋体"/>
                <w:b/>
                <w:color w:val="000000" w:themeColor="text1"/>
                <w:szCs w:val="21"/>
              </w:rPr>
            </w:pPr>
            <w:r>
              <w:rPr>
                <w:rFonts w:ascii="宋体" w:hAnsi="宋体"/>
                <w:b/>
                <w:color w:val="000000" w:themeColor="text1"/>
                <w:szCs w:val="21"/>
              </w:rPr>
              <w:t>工程部</w:t>
            </w:r>
          </w:p>
        </w:tc>
        <w:tc>
          <w:tcPr>
            <w:tcW w:w="8221" w:type="dxa"/>
            <w:vAlign w:val="center"/>
          </w:tcPr>
          <w:p>
            <w:pPr>
              <w:rPr>
                <w:rFonts w:ascii="宋体" w:hAnsi="宋体"/>
                <w:b/>
                <w:color w:val="000000" w:themeColor="text1"/>
                <w:spacing w:val="-20"/>
                <w:szCs w:val="21"/>
                <w:highlight w:val="none"/>
                <w:u w:val="single"/>
              </w:rPr>
            </w:pPr>
            <w:r>
              <w:rPr>
                <w:rFonts w:asciiTheme="minorEastAsia" w:hAnsiTheme="minorEastAsia" w:eastAsiaTheme="minorEastAsia"/>
                <w:b/>
                <w:color w:val="000000" w:themeColor="text1"/>
                <w:szCs w:val="21"/>
                <w:highlight w:val="none"/>
              </w:rPr>
              <w:t>施工劳务</w:t>
            </w:r>
            <w:r>
              <w:rPr>
                <w:rFonts w:hint="eastAsia" w:asciiTheme="minorEastAsia" w:hAnsiTheme="minorEastAsia" w:eastAsiaTheme="minorEastAsia"/>
                <w:b/>
                <w:bCs/>
                <w:color w:val="000000" w:themeColor="text1"/>
                <w:szCs w:val="21"/>
                <w:highlight w:val="none"/>
              </w:rPr>
              <w:t>项目的策划、实施、放行、交付等质量运行控制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jc w:val="center"/>
              <w:rPr>
                <w:rFonts w:ascii="宋体" w:hAnsi="宋体"/>
                <w:b/>
                <w:color w:val="000000" w:themeColor="text1"/>
                <w:szCs w:val="21"/>
              </w:rPr>
            </w:pPr>
            <w:r>
              <w:rPr>
                <w:rFonts w:ascii="宋体" w:hAnsi="宋体"/>
                <w:b/>
                <w:color w:val="000000" w:themeColor="text1"/>
                <w:szCs w:val="21"/>
              </w:rPr>
              <w:t>项目部</w:t>
            </w:r>
          </w:p>
        </w:tc>
        <w:tc>
          <w:tcPr>
            <w:tcW w:w="8221" w:type="dxa"/>
          </w:tcPr>
          <w:p>
            <w:pPr>
              <w:jc w:val="both"/>
              <w:rPr>
                <w:rFonts w:ascii="宋体" w:hAnsi="宋体"/>
                <w:b/>
                <w:color w:val="000000" w:themeColor="text1"/>
                <w:spacing w:val="-20"/>
                <w:szCs w:val="21"/>
                <w:highlight w:val="none"/>
                <w:u w:val="single"/>
              </w:rPr>
            </w:pPr>
            <w:r>
              <w:rPr>
                <w:rFonts w:asciiTheme="minorEastAsia" w:hAnsiTheme="minorEastAsia" w:eastAsiaTheme="minorEastAsia"/>
                <w:b/>
                <w:color w:val="000000" w:themeColor="text1"/>
                <w:szCs w:val="21"/>
                <w:highlight w:val="none"/>
              </w:rPr>
              <w:t>建筑工程施工</w:t>
            </w:r>
            <w:r>
              <w:rPr>
                <w:rFonts w:hint="eastAsia" w:asciiTheme="minorEastAsia" w:hAnsiTheme="minorEastAsia" w:eastAsiaTheme="minorEastAsia"/>
                <w:b/>
                <w:bCs/>
                <w:color w:val="000000" w:themeColor="text1"/>
                <w:szCs w:val="21"/>
                <w:highlight w:val="none"/>
              </w:rPr>
              <w:t>项目的策划、实施、放行、交付等质量运行控制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pPr>
              <w:ind w:firstLine="413" w:firstLineChars="196"/>
              <w:rPr>
                <w:rFonts w:ascii="宋体" w:hAnsi="宋体"/>
                <w:b/>
                <w:color w:val="000000" w:themeColor="text1"/>
                <w:szCs w:val="21"/>
              </w:rPr>
            </w:pPr>
            <w:r>
              <w:rPr>
                <w:rFonts w:ascii="宋体" w:hAnsi="宋体"/>
                <w:b/>
                <w:color w:val="000000" w:themeColor="text1"/>
                <w:szCs w:val="21"/>
              </w:rPr>
              <w:t>行政部</w:t>
            </w:r>
          </w:p>
        </w:tc>
        <w:tc>
          <w:tcPr>
            <w:tcW w:w="8221" w:type="dxa"/>
          </w:tcPr>
          <w:p>
            <w:pPr>
              <w:rPr>
                <w:rFonts w:ascii="宋体" w:hAnsi="宋体"/>
                <w:b/>
                <w:color w:val="000000" w:themeColor="text1"/>
                <w:spacing w:val="-20"/>
                <w:szCs w:val="21"/>
                <w:highlight w:val="none"/>
                <w:u w:val="single"/>
              </w:rPr>
            </w:pPr>
            <w:r>
              <w:rPr>
                <w:rFonts w:hint="eastAsia" w:asciiTheme="minorEastAsia" w:hAnsiTheme="minorEastAsia" w:eastAsiaTheme="minorEastAsia"/>
                <w:b/>
                <w:bCs/>
                <w:color w:val="000000" w:themeColor="text1"/>
                <w:szCs w:val="21"/>
                <w:highlight w:val="none"/>
              </w:rPr>
              <w:t>目标管理方案,与管理过程控制；人力资源；文件记录控制；内外部信息交流过程；内审管理等质量管理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ind w:firstLine="310" w:firstLineChars="147"/>
              <w:rPr>
                <w:rFonts w:ascii="宋体" w:hAnsi="宋体"/>
                <w:b/>
                <w:color w:val="000000" w:themeColor="text1"/>
                <w:szCs w:val="21"/>
              </w:rPr>
            </w:pPr>
            <w:r>
              <w:rPr>
                <w:rFonts w:ascii="宋体" w:hAnsi="宋体"/>
                <w:b/>
                <w:color w:val="000000" w:themeColor="text1"/>
                <w:szCs w:val="21"/>
              </w:rPr>
              <w:t>财务部</w:t>
            </w:r>
          </w:p>
        </w:tc>
        <w:tc>
          <w:tcPr>
            <w:tcW w:w="8221" w:type="dxa"/>
          </w:tcPr>
          <w:p>
            <w:pPr>
              <w:rPr>
                <w:rFonts w:ascii="宋体" w:hAnsi="宋体"/>
                <w:b/>
                <w:color w:val="000000" w:themeColor="text1"/>
                <w:spacing w:val="-20"/>
                <w:szCs w:val="21"/>
                <w:highlight w:val="none"/>
                <w:u w:val="single"/>
              </w:rPr>
            </w:pPr>
            <w:r>
              <w:rPr>
                <w:rFonts w:hint="eastAsia" w:asciiTheme="minorEastAsia" w:hAnsiTheme="minorEastAsia" w:eastAsiaTheme="minorEastAsia"/>
                <w:b/>
                <w:bCs/>
                <w:color w:val="000000" w:themeColor="text1"/>
                <w:szCs w:val="21"/>
                <w:highlight w:val="none"/>
                <w:lang w:val="en-US" w:eastAsia="zh-CN"/>
              </w:rPr>
              <w:t>体系运行</w:t>
            </w:r>
            <w:r>
              <w:rPr>
                <w:rFonts w:hint="eastAsia" w:asciiTheme="minorEastAsia" w:hAnsiTheme="minorEastAsia" w:eastAsiaTheme="minorEastAsia"/>
                <w:b/>
                <w:bCs/>
                <w:color w:val="000000" w:themeColor="text1"/>
                <w:szCs w:val="21"/>
                <w:highlight w:val="none"/>
              </w:rPr>
              <w:t>资金控制</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ascii="宋体" w:hAnsi="宋体"/>
                <w:b/>
                <w:color w:val="000000" w:themeColor="text1"/>
                <w:sz w:val="20"/>
                <w:szCs w:val="20"/>
              </w:rPr>
              <w:t>见在建项目清单</w:t>
            </w: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b/>
          <w:color w:val="000000" w:themeColor="text1"/>
          <w:spacing w:val="-6"/>
          <w:szCs w:val="21"/>
        </w:rPr>
      </w:pPr>
    </w:p>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6"/>
        <w:gridCol w:w="1120"/>
        <w:gridCol w:w="1226"/>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6"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120"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226"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6" w:type="dxa"/>
          </w:tcPr>
          <w:p>
            <w:pPr>
              <w:rPr>
                <w:b/>
                <w:color w:val="000000" w:themeColor="text1"/>
                <w:sz w:val="20"/>
                <w:szCs w:val="20"/>
              </w:rPr>
            </w:pPr>
            <w:r>
              <w:rPr>
                <w:rFonts w:ascii="宋体" w:hAnsi="宋体"/>
                <w:b/>
                <w:color w:val="000000" w:themeColor="text1"/>
                <w:sz w:val="20"/>
                <w:szCs w:val="20"/>
              </w:rPr>
              <w:t>建筑工程总承包、电力工程施工总承包、钢结构工程专业承包、建筑机电安装工程专业承包</w:t>
            </w:r>
          </w:p>
        </w:tc>
        <w:tc>
          <w:tcPr>
            <w:tcW w:w="1120"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施工</w:t>
            </w:r>
          </w:p>
        </w:tc>
        <w:tc>
          <w:tcPr>
            <w:tcW w:w="1226" w:type="dxa"/>
          </w:tcPr>
          <w:p>
            <w:pPr>
              <w:rPr>
                <w:b/>
                <w:color w:val="000000" w:themeColor="text1"/>
                <w:sz w:val="20"/>
                <w:szCs w:val="20"/>
              </w:rPr>
            </w:pPr>
          </w:p>
        </w:tc>
        <w:tc>
          <w:tcPr>
            <w:tcW w:w="3543" w:type="dxa"/>
          </w:tcPr>
          <w:p>
            <w:pPr>
              <w:rPr>
                <w:b/>
                <w:color w:val="000000" w:themeColor="text1"/>
                <w:sz w:val="20"/>
                <w:szCs w:val="20"/>
              </w:rPr>
            </w:pPr>
            <w:r>
              <w:rPr>
                <w:b/>
                <w:color w:val="000000" w:themeColor="text1"/>
                <w:sz w:val="20"/>
                <w:szCs w:val="20"/>
              </w:rPr>
              <w:t>见公司适用的标准清单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6" w:type="dxa"/>
          </w:tcPr>
          <w:p>
            <w:pPr>
              <w:rPr>
                <w:b/>
                <w:color w:val="000000" w:themeColor="text1"/>
                <w:sz w:val="20"/>
                <w:szCs w:val="20"/>
              </w:rPr>
            </w:pPr>
          </w:p>
        </w:tc>
        <w:tc>
          <w:tcPr>
            <w:tcW w:w="1120" w:type="dxa"/>
          </w:tcPr>
          <w:p>
            <w:pPr>
              <w:rPr>
                <w:b/>
                <w:color w:val="000000" w:themeColor="text1"/>
                <w:sz w:val="20"/>
                <w:szCs w:val="20"/>
              </w:rPr>
            </w:pPr>
          </w:p>
        </w:tc>
        <w:tc>
          <w:tcPr>
            <w:tcW w:w="1226" w:type="dxa"/>
          </w:tcPr>
          <w:p>
            <w:pPr>
              <w:rPr>
                <w:b/>
                <w:color w:val="000000" w:themeColor="text1"/>
                <w:sz w:val="20"/>
                <w:szCs w:val="20"/>
              </w:rPr>
            </w:pPr>
          </w:p>
        </w:tc>
        <w:tc>
          <w:tcPr>
            <w:tcW w:w="3543" w:type="dxa"/>
          </w:tcPr>
          <w:p>
            <w:pPr>
              <w:rPr>
                <w:b/>
                <w:color w:val="000000" w:themeColor="text1"/>
                <w:sz w:val="20"/>
                <w:szCs w:val="20"/>
              </w:rPr>
            </w:pPr>
          </w:p>
        </w:tc>
      </w:tr>
    </w:tbl>
    <w:p>
      <w:pPr>
        <w:snapToGrid w:val="0"/>
        <w:spacing w:line="300" w:lineRule="auto"/>
        <w:jc w:val="left"/>
        <w:rPr>
          <w:b/>
          <w:bCs/>
          <w:color w:val="000000" w:themeColor="text1"/>
          <w:w w:val="115"/>
        </w:rPr>
      </w:pPr>
    </w:p>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ascii="宋体" w:hAnsi="宋体"/>
          <w:b/>
          <w:color w:val="000000" w:themeColor="text1"/>
          <w:spacing w:val="-10"/>
          <w:szCs w:val="21"/>
        </w:rPr>
        <w:t>■</w:t>
      </w:r>
      <w:r>
        <w:rPr>
          <w:rFonts w:hint="eastAsia"/>
          <w:b/>
          <w:color w:val="000000" w:themeColor="text1"/>
          <w:spacing w:val="-10"/>
          <w:szCs w:val="21"/>
        </w:rPr>
        <w:t>体系运行开始的2</w:t>
      </w:r>
      <w:r>
        <w:rPr>
          <w:b/>
          <w:color w:val="000000" w:themeColor="text1"/>
          <w:spacing w:val="-10"/>
          <w:szCs w:val="21"/>
        </w:rPr>
        <w:t>0</w:t>
      </w:r>
      <w:r>
        <w:rPr>
          <w:rFonts w:hint="eastAsia"/>
          <w:b/>
          <w:color w:val="000000" w:themeColor="text1"/>
          <w:spacing w:val="-10"/>
          <w:szCs w:val="21"/>
          <w:lang w:val="en-US" w:eastAsia="zh-CN"/>
        </w:rPr>
        <w:t>20</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r>
        <w:rPr>
          <w:rFonts w:hint="eastAsia"/>
          <w:b/>
          <w:color w:val="000000" w:themeColor="text1"/>
          <w:spacing w:val="-10"/>
          <w:szCs w:val="21"/>
          <w:lang w:val="en-US" w:eastAsia="zh-CN"/>
        </w:rPr>
        <w:t>1</w:t>
      </w:r>
      <w:r>
        <w:rPr>
          <w:rFonts w:hint="eastAsia"/>
          <w:b/>
          <w:color w:val="000000" w:themeColor="text1"/>
          <w:spacing w:val="-10"/>
          <w:szCs w:val="21"/>
        </w:rPr>
        <w:t>日至2</w:t>
      </w:r>
      <w:r>
        <w:rPr>
          <w:b/>
          <w:color w:val="000000" w:themeColor="text1"/>
          <w:spacing w:val="-10"/>
          <w:szCs w:val="21"/>
        </w:rPr>
        <w:t>0</w:t>
      </w:r>
      <w:r>
        <w:rPr>
          <w:rFonts w:hint="eastAsia"/>
          <w:b/>
          <w:color w:val="000000" w:themeColor="text1"/>
          <w:spacing w:val="-10"/>
          <w:szCs w:val="21"/>
        </w:rPr>
        <w:t>20年</w:t>
      </w:r>
      <w:r>
        <w:rPr>
          <w:rFonts w:hint="eastAsia"/>
          <w:b/>
          <w:color w:val="000000" w:themeColor="text1"/>
          <w:spacing w:val="-10"/>
          <w:szCs w:val="21"/>
          <w:lang w:val="en-US" w:eastAsia="zh-CN"/>
        </w:rPr>
        <w:t>11</w:t>
      </w:r>
      <w:r>
        <w:rPr>
          <w:rFonts w:hint="eastAsia"/>
          <w:b/>
          <w:color w:val="000000" w:themeColor="text1"/>
          <w:spacing w:val="-10"/>
          <w:szCs w:val="21"/>
        </w:rPr>
        <w:t>月</w:t>
      </w:r>
      <w:r>
        <w:rPr>
          <w:rFonts w:hint="eastAsia"/>
          <w:b/>
          <w:color w:val="000000" w:themeColor="text1"/>
          <w:spacing w:val="-10"/>
          <w:szCs w:val="21"/>
          <w:lang w:val="en-US" w:eastAsia="zh-CN"/>
        </w:rPr>
        <w:t>2</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ascii="宋体" w:hAnsi="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948"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rFonts w:ascii="宋体" w:hAnsi="宋体"/>
                <w:color w:val="000000" w:themeColor="text1"/>
              </w:rPr>
            </w:pPr>
            <w:r>
              <w:rPr>
                <w:rFonts w:hint="eastAsia" w:ascii="宋体" w:hAnsi="宋体"/>
                <w:color w:val="000000" w:themeColor="text1"/>
              </w:rPr>
              <w:t>组织对内外部因素、相关方需求和期望进行了充分的识别，策划和实施有效。组织确定了体系的边界，基本适用。管理体系除Q8.3J10.3全条款适用。</w:t>
            </w:r>
          </w:p>
          <w:p>
            <w:pPr>
              <w:spacing w:line="240" w:lineRule="exact"/>
              <w:ind w:firstLine="420" w:firstLineChars="200"/>
              <w:rPr>
                <w:rFonts w:ascii="宋体" w:hAnsi="宋体"/>
                <w:color w:val="000000" w:themeColor="text1"/>
              </w:rPr>
            </w:pPr>
            <w:r>
              <w:rPr>
                <w:rFonts w:hint="eastAsia" w:ascii="宋体" w:hAnsi="宋体"/>
                <w:color w:val="000000" w:themeColor="text1"/>
              </w:rPr>
              <w:t>经营范围：</w:t>
            </w:r>
            <w:r>
              <w:rPr>
                <w:rFonts w:hint="eastAsia" w:ascii="宋体" w:hAnsi="宋体"/>
                <w:color w:val="000000" w:themeColor="text1"/>
                <w:lang w:eastAsia="zh-CN"/>
              </w:rPr>
              <w:t>资质范围内的建筑工程总承包、电力工程施工总承包、钢结构工程专业承包、建筑机电安装工程专业承包</w:t>
            </w:r>
            <w:r>
              <w:rPr>
                <w:rFonts w:hint="eastAsia" w:ascii="宋体" w:hAnsi="宋体"/>
                <w:color w:val="000000" w:themeColor="text1"/>
              </w:rPr>
              <w:t>。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spacing w:line="240" w:lineRule="exact"/>
              <w:ind w:firstLine="420" w:firstLineChars="200"/>
              <w:rPr>
                <w:b/>
                <w:color w:val="000000" w:themeColor="text1"/>
                <w:sz w:val="20"/>
                <w:szCs w:val="20"/>
              </w:rPr>
            </w:pPr>
            <w:r>
              <w:rPr>
                <w:rFonts w:hint="eastAsia" w:ascii="宋体" w:hAnsi="宋体"/>
                <w:color w:val="000000" w:themeColor="text1"/>
              </w:rPr>
              <w:t>提供了《组织内外部环境因素识别表》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p>
            <w:pPr>
              <w:spacing w:line="240" w:lineRule="exact"/>
              <w:ind w:firstLine="420" w:firstLineChars="200"/>
              <w:rPr>
                <w:b/>
                <w:color w:val="000000" w:themeColor="text1"/>
                <w:sz w:val="20"/>
                <w:szCs w:val="20"/>
              </w:rPr>
            </w:pPr>
            <w:r>
              <w:rPr>
                <w:rFonts w:hint="eastAsia" w:ascii="宋体" w:hAnsi="宋体" w:cs="宋体"/>
                <w:color w:val="000000"/>
                <w:szCs w:val="21"/>
              </w:rPr>
              <w:t>主要顾客群：</w:t>
            </w:r>
            <w:r>
              <w:rPr>
                <w:rFonts w:hint="eastAsia" w:ascii="宋体" w:hAnsi="宋体" w:cs="宋体"/>
                <w:color w:val="000000"/>
                <w:szCs w:val="21"/>
                <w:lang w:val="en-US" w:eastAsia="zh-CN"/>
              </w:rPr>
              <w:t>中石油、中石化、</w:t>
            </w:r>
            <w:r>
              <w:rPr>
                <w:rFonts w:hint="eastAsia" w:ascii="宋体" w:hAnsi="宋体" w:cs="宋体"/>
                <w:color w:val="000000"/>
                <w:szCs w:val="21"/>
                <w:highlight w:val="none"/>
              </w:rPr>
              <w:t>住建局、楼市发商、政府机关、人力资源部等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72" w:firstLineChars="225"/>
              <w:rPr>
                <w:rFonts w:hint="eastAsia"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适宜、充分、有效。</w:t>
            </w:r>
          </w:p>
          <w:p>
            <w:pPr>
              <w:ind w:firstLine="472" w:firstLineChars="225"/>
              <w:rPr>
                <w:rFonts w:hint="eastAsia" w:ascii="宋体" w:hAnsi="宋体" w:cs="宋体"/>
                <w:b/>
                <w:szCs w:val="21"/>
              </w:rPr>
            </w:pPr>
            <w:r>
              <w:rPr>
                <w:rFonts w:hint="eastAsia" w:ascii="宋体" w:hAnsi="宋体"/>
                <w:color w:val="000000" w:themeColor="text1"/>
              </w:rPr>
              <w:t>管理方针：</w:t>
            </w:r>
            <w:r>
              <w:rPr>
                <w:rFonts w:hint="eastAsia" w:ascii="宋体" w:hAnsi="宋体" w:cs="宋体"/>
                <w:b/>
                <w:szCs w:val="21"/>
              </w:rPr>
              <w:t>“以人为本，开拓创新，持续改进质量；</w:t>
            </w:r>
          </w:p>
          <w:p>
            <w:pPr>
              <w:ind w:firstLine="474" w:firstLineChars="225"/>
              <w:rPr>
                <w:rFonts w:hint="eastAsia" w:ascii="宋体" w:hAnsi="宋体" w:cs="宋体"/>
                <w:b/>
                <w:szCs w:val="21"/>
              </w:rPr>
            </w:pPr>
            <w:r>
              <w:rPr>
                <w:rFonts w:hint="eastAsia" w:ascii="宋体" w:hAnsi="宋体" w:cs="宋体"/>
                <w:b/>
                <w:szCs w:val="21"/>
              </w:rPr>
              <w:t>防尘降噪，遵守法规，提高环境绩效；</w:t>
            </w:r>
          </w:p>
          <w:p>
            <w:pPr>
              <w:ind w:firstLine="474" w:firstLineChars="225"/>
              <w:rPr>
                <w:rFonts w:hint="eastAsia" w:ascii="宋体" w:hAnsi="宋体"/>
                <w:color w:val="000000" w:themeColor="text1"/>
              </w:rPr>
            </w:pPr>
            <w:r>
              <w:rPr>
                <w:rFonts w:hint="eastAsia" w:ascii="宋体" w:hAnsi="宋体" w:cs="宋体"/>
                <w:b/>
                <w:szCs w:val="21"/>
              </w:rPr>
              <w:t>安全第一，预防为主，杜绝重大事故”。</w:t>
            </w:r>
            <w:r>
              <w:rPr>
                <w:rFonts w:hint="eastAsia" w:ascii="宋体" w:hAnsi="宋体"/>
                <w:color w:val="000000" w:themeColor="text1"/>
              </w:rPr>
              <w:t>管理方针适宜、充分、有效。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rPr>
            </w:pPr>
            <w:r>
              <w:rPr>
                <w:b/>
                <w:color w:val="000000" w:themeColor="text1"/>
              </w:rPr>
              <w:t>4</w:t>
            </w:r>
            <w:r>
              <w:rPr>
                <w:rFonts w:hint="eastAsia"/>
                <w:b/>
                <w:color w:val="000000" w:themeColor="text1"/>
              </w:rPr>
              <w:t>、风险识别与控制策划（</w:t>
            </w:r>
            <w:r>
              <w:rPr>
                <w:b/>
                <w:color w:val="000000" w:themeColor="text1"/>
              </w:rPr>
              <w:t>QMS</w:t>
            </w:r>
            <w:r>
              <w:rPr>
                <w:rFonts w:hint="eastAsia"/>
                <w:b/>
                <w:color w:val="000000" w:themeColor="text1"/>
              </w:rPr>
              <w:t>）</w:t>
            </w:r>
          </w:p>
          <w:p>
            <w:pPr>
              <w:spacing w:line="240" w:lineRule="exact"/>
              <w:ind w:firstLine="420" w:firstLineChars="2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p>
            <w:pPr>
              <w:spacing w:line="240" w:lineRule="exact"/>
              <w:ind w:firstLine="420" w:firstLineChars="200"/>
              <w:rPr>
                <w:rFonts w:ascii="宋体" w:hAnsi="宋体"/>
                <w:color w:val="000000" w:themeColor="text1"/>
              </w:rPr>
            </w:pPr>
            <w:r>
              <w:rPr>
                <w:rFonts w:hint="eastAsia" w:ascii="宋体" w:hAnsi="宋体"/>
                <w:color w:val="000000" w:themeColor="text1"/>
              </w:rPr>
              <w:t>提供了“风险和机遇评估表”，将需要应对的风险和机遇进行风险分析确定风险级别（一般风险、高风险），在质量管理体系所确定的过程（客户开发、供应商的要求等）中，整合制定针对性管理措施（如程序控制等）。</w:t>
            </w:r>
          </w:p>
          <w:p>
            <w:pPr>
              <w:spacing w:line="240" w:lineRule="exact"/>
              <w:ind w:firstLine="420" w:firstLineChars="200"/>
              <w:rPr>
                <w:rFonts w:ascii="宋体" w:hAnsi="宋体"/>
                <w:color w:val="000000" w:themeColor="text1"/>
              </w:rPr>
            </w:pPr>
            <w:r>
              <w:rPr>
                <w:rFonts w:hint="eastAsia" w:ascii="宋体" w:hAnsi="宋体"/>
                <w:color w:val="000000" w:themeColor="text1"/>
              </w:rPr>
              <w:t>提供了“经营分析及对策报告”，已认真交流风险如战略失误及人力资源成本上升、竞争不断加剧等，主要措施确定战略更加科学、通过提高管理水平消化人力资源成本上升；通过差异化策略提高竞争力。效果待观察。</w:t>
            </w:r>
          </w:p>
          <w:p>
            <w:pPr>
              <w:spacing w:line="240" w:lineRule="exact"/>
              <w:ind w:firstLine="420" w:firstLineChars="200"/>
              <w:rPr>
                <w:rFonts w:ascii="宋体" w:hAnsi="宋体"/>
                <w:color w:val="000000" w:themeColor="text1"/>
              </w:rPr>
            </w:pPr>
            <w:r>
              <w:rPr>
                <w:rFonts w:hint="eastAsia" w:ascii="宋体" w:hAnsi="宋体"/>
                <w:color w:val="000000" w:themeColor="text1"/>
              </w:rPr>
              <w:t>机遇主要是现在社会需求不断增多。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color w:val="000000" w:themeColor="text1"/>
                <w:sz w:val="20"/>
                <w:szCs w:val="20"/>
              </w:rPr>
            </w:pPr>
            <w:r>
              <w:rPr>
                <w:b/>
                <w:color w:val="000000" w:themeColor="text1"/>
                <w:sz w:val="20"/>
                <w:szCs w:val="20"/>
              </w:rPr>
              <w:t>5.QMS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rPr>
            </w:pPr>
            <w:r>
              <w:rPr>
                <w:rFonts w:hint="eastAsia" w:ascii="宋体" w:hAnsi="宋体"/>
                <w:b/>
                <w:color w:val="000000" w:themeColor="text1"/>
                <w:sz w:val="20"/>
                <w:szCs w:val="20"/>
              </w:rPr>
              <w:t>质量管理体系过程有：</w:t>
            </w:r>
            <w:r>
              <w:rPr>
                <w:rFonts w:hint="eastAsia" w:ascii="宋体" w:hAnsi="宋体"/>
              </w:rPr>
              <w:t>人力资源、基础设施、文件、机构、职责、产品和服务的要求、外部提供的产品和服务、产品放行、不合格输出控制、绩效评价、改进等</w:t>
            </w:r>
          </w:p>
          <w:p>
            <w:pPr>
              <w:tabs>
                <w:tab w:val="left" w:pos="540"/>
              </w:tabs>
              <w:spacing w:line="300" w:lineRule="exact"/>
              <w:ind w:left="201" w:hanging="201" w:hangingChars="100"/>
              <w:rPr>
                <w:rFonts w:ascii="宋体" w:hAnsi="宋体"/>
                <w:b/>
                <w:sz w:val="20"/>
                <w:szCs w:val="20"/>
                <w:highlight w:val="none"/>
                <w:u w:val="single"/>
              </w:rPr>
            </w:pPr>
            <w:r>
              <w:rPr>
                <w:rFonts w:hint="eastAsia" w:ascii="宋体" w:hAnsi="宋体"/>
                <w:b/>
                <w:sz w:val="20"/>
                <w:szCs w:val="20"/>
              </w:rPr>
              <w:t>其中关键过程有：</w:t>
            </w:r>
            <w:r>
              <w:rPr>
                <w:rFonts w:hint="eastAsia" w:ascii="宋体" w:hAnsi="宋体"/>
                <w:b/>
                <w:sz w:val="20"/>
                <w:szCs w:val="20"/>
                <w:highlight w:val="none"/>
              </w:rPr>
              <w:t>隐蔽工程、基坑开挖、模板支护过程等</w:t>
            </w:r>
          </w:p>
          <w:p>
            <w:pPr>
              <w:tabs>
                <w:tab w:val="left" w:pos="540"/>
              </w:tabs>
              <w:spacing w:line="300" w:lineRule="exact"/>
              <w:ind w:left="201" w:hanging="201" w:hangingChars="100"/>
              <w:rPr>
                <w:rFonts w:ascii="宋体" w:hAnsi="宋体"/>
                <w:b/>
                <w:sz w:val="20"/>
                <w:szCs w:val="20"/>
                <w:highlight w:val="none"/>
              </w:rPr>
            </w:pPr>
            <w:r>
              <w:rPr>
                <w:rFonts w:hint="eastAsia" w:ascii="宋体" w:hAnsi="宋体"/>
                <w:b/>
                <w:sz w:val="20"/>
                <w:szCs w:val="20"/>
                <w:highlight w:val="none"/>
              </w:rPr>
              <w:t>需要确认过程：金属结构件焊接过程、特殊防水过程等</w:t>
            </w:r>
          </w:p>
          <w:p>
            <w:pPr>
              <w:tabs>
                <w:tab w:val="left" w:pos="540"/>
              </w:tabs>
              <w:spacing w:line="300" w:lineRule="exact"/>
              <w:ind w:left="210" w:hanging="210" w:hangingChars="100"/>
              <w:rPr>
                <w:rFonts w:ascii="宋体" w:hAnsi="宋体"/>
                <w:b/>
                <w:color w:val="FF0000"/>
                <w:szCs w:val="21"/>
              </w:rPr>
            </w:pPr>
            <w:r>
              <w:pict>
                <v:shape id="AutoShape 8" o:spid="_x0000_s2050" o:spt="32" type="#_x0000_t32" style="position:absolute;left:0pt;margin-left:157.9pt;margin-top:12.75pt;height:0pt;width:261.75pt;z-index:25166438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VdHA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">
                  <v:path arrowok="t"/>
                  <v:fill on="f" focussize="0,0"/>
                  <v:stroke/>
                  <v:imagedata o:title=""/>
                  <o:lock v:ext="edit"/>
                </v:shape>
              </w:pict>
            </w:r>
            <w:r>
              <w:pict>
                <v:shape id="AutoShape 7" o:spid="_x0000_s2051" o:spt="32" type="#_x0000_t32" style="position:absolute;left:0pt;margin-left:55.15pt;margin-top:12.75pt;height:0pt;width:42pt;z-index:25166336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4+HgIAADo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">
                  <v:path arrowok="t"/>
                  <v:fill on="f" focussize="0,0"/>
                  <v:stroke/>
                  <v:imagedata o:title=""/>
                  <o:lock v:ext="edit"/>
                </v:shape>
              </w:pict>
            </w:r>
            <w:r>
              <w:rPr>
                <w:rFonts w:hint="eastAsia" w:asciiTheme="minorEastAsia" w:hAnsiTheme="minorEastAsia" w:eastAsiaTheme="minorEastAsia"/>
                <w:bCs/>
                <w:iCs/>
              </w:rPr>
              <w:t>不适用条款是 Q8.3J</w:t>
            </w:r>
            <w:r>
              <w:rPr>
                <w:rFonts w:hint="eastAsia" w:asciiTheme="minorEastAsia" w:hAnsiTheme="minorEastAsia" w:eastAsiaTheme="minorEastAsia"/>
                <w:bCs/>
                <w:iCs/>
                <w:u w:val="single"/>
              </w:rPr>
              <w:t xml:space="preserve">10.3 </w:t>
            </w:r>
            <w:r>
              <w:rPr>
                <w:rFonts w:hint="eastAsia" w:asciiTheme="minorEastAsia" w:hAnsiTheme="minorEastAsia" w:eastAsiaTheme="minorEastAsia"/>
                <w:bCs/>
                <w:iCs/>
              </w:rPr>
              <w:t>，不适用理由</w:t>
            </w:r>
            <w:r>
              <w:rPr>
                <w:rFonts w:hint="eastAsia" w:asciiTheme="minorEastAsia" w:hAnsiTheme="minorEastAsia" w:eastAsiaTheme="minorEastAsia"/>
                <w:bCs/>
                <w:iCs/>
                <w:u w:val="none"/>
              </w:rPr>
              <w:t>：</w:t>
            </w:r>
            <w:r>
              <w:rPr>
                <w:rFonts w:hint="eastAsia" w:ascii="宋体" w:hAnsi="宋体"/>
                <w:b/>
                <w:color w:val="000000" w:themeColor="text1"/>
                <w:sz w:val="20"/>
                <w:szCs w:val="20"/>
                <w:u w:val="none"/>
              </w:rPr>
              <w:t>公司施工的产品，是按顾客要求、合同及设计图纸进行施工,不同工程项目按8.1/10.2产品实现策划（施工组织设计）进行控制，组织不承担产品设计的责任，无相应的设计更改权；8.3不适用/10.3删减，不影响公司满足顾客和法律法规要求的能力和责任。</w:t>
            </w:r>
            <w:r>
              <w:rPr>
                <w:rFonts w:hint="eastAsia" w:asciiTheme="minorEastAsia" w:hAnsiTheme="minorEastAsia" w:eastAsiaTheme="minorEastAsia"/>
                <w:bCs/>
                <w:iCs/>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color w:val="000000" w:themeColor="text1"/>
                <w:spacing w:val="-12"/>
                <w:sz w:val="20"/>
                <w:szCs w:val="20"/>
              </w:rPr>
            </w:pPr>
            <w:r>
              <w:rPr>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 xml:space="preserve">环境因素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402" w:firstLineChars="200"/>
              <w:rPr>
                <w:rFonts w:hint="default"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本次审核不涉及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color w:val="000000" w:themeColor="text1"/>
              </w:rPr>
            </w:pPr>
          </w:p>
          <w:p>
            <w:pPr>
              <w:bidi w:val="0"/>
              <w:ind w:firstLine="577" w:firstLineChars="0"/>
              <w:jc w:val="left"/>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color w:val="000000" w:themeColor="text1"/>
                <w:sz w:val="20"/>
                <w:szCs w:val="20"/>
                <w:lang w:val="en-US" w:eastAsia="zh-CN"/>
              </w:rPr>
              <w:t>本次审核不涉及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300" w:lineRule="exact"/>
              <w:rPr>
                <w:b/>
                <w:color w:val="000000" w:themeColor="text1"/>
                <w:spacing w:val="-4"/>
                <w:szCs w:val="21"/>
              </w:rPr>
            </w:pPr>
            <w:r>
              <w:rPr>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rPr>
                <w:rFonts w:ascii="宋体" w:hAnsi="宋体"/>
                <w:b/>
                <w:color w:val="000000" w:themeColor="text1"/>
                <w:szCs w:val="21"/>
              </w:rPr>
            </w:pPr>
          </w:p>
          <w:p>
            <w:pPr>
              <w:pStyle w:val="10"/>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w:t>
            </w:r>
            <w:r>
              <w:rPr>
                <w:rFonts w:hint="eastAsia" w:ascii="宋体" w:hAnsi="宋体"/>
                <w:b/>
                <w:color w:val="000000" w:themeColor="text1"/>
                <w:szCs w:val="21"/>
              </w:rPr>
              <w:sym w:font="Wingdings 2" w:char="00A3"/>
            </w:r>
            <w:r>
              <w:rPr>
                <w:rFonts w:hint="eastAsia" w:ascii="宋体" w:hAnsi="宋体"/>
                <w:b/>
                <w:color w:val="000000" w:themeColor="text1"/>
                <w:szCs w:val="21"/>
              </w:rPr>
              <w:t>法律法规获取有遗漏，缺少</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w:t>
            </w:r>
            <w:r>
              <w:rPr>
                <w:rFonts w:hint="eastAsia" w:ascii="宋体" w:hAnsi="宋体"/>
                <w:b/>
                <w:color w:val="000000" w:themeColor="text1"/>
                <w:szCs w:val="21"/>
              </w:rPr>
              <w:sym w:font="Wingdings 2" w:char="00A3"/>
            </w:r>
            <w:r>
              <w:rPr>
                <w:rFonts w:hint="eastAsia" w:ascii="宋体" w:hAnsi="宋体"/>
                <w:b/>
                <w:color w:val="000000" w:themeColor="text1"/>
                <w:szCs w:val="21"/>
              </w:rPr>
              <w:t>环境因素</w:t>
            </w:r>
            <w:r>
              <w:rPr>
                <w:rFonts w:hint="eastAsia" w:ascii="宋体" w:hAnsi="宋体"/>
                <w:b/>
                <w:color w:val="000000" w:themeColor="text1"/>
                <w:szCs w:val="21"/>
              </w:rPr>
              <w:sym w:font="Wingdings 2" w:char="00A3"/>
            </w:r>
            <w:r>
              <w:rPr>
                <w:rFonts w:hint="eastAsia" w:ascii="宋体" w:hAnsi="宋体"/>
                <w:b/>
                <w:color w:val="000000" w:themeColor="text1"/>
                <w:szCs w:val="21"/>
              </w:rPr>
              <w:t>危险源，■确定 □未确定法律法规要求的具体条款，</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color w:val="000000" w:themeColor="text1"/>
                <w:szCs w:val="21"/>
              </w:rPr>
            </w:pPr>
            <w:r>
              <w:rPr>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000000" w:themeColor="text1"/>
                <w:sz w:val="20"/>
                <w:szCs w:val="20"/>
              </w:rPr>
            </w:pPr>
            <w:r>
              <w:rPr>
                <w:b/>
                <w:color w:val="000000" w:themeColor="text1"/>
                <w:sz w:val="20"/>
                <w:szCs w:val="20"/>
              </w:rPr>
              <w:t xml:space="preserve">10. </w:t>
            </w:r>
            <w:r>
              <w:rPr>
                <w:rFonts w:hint="eastAsia"/>
                <w:b/>
                <w:color w:val="000000" w:themeColor="text1"/>
                <w:sz w:val="20"/>
                <w:szCs w:val="20"/>
              </w:rPr>
              <w:t>文件与记录控制</w:t>
            </w:r>
            <w:r>
              <w:rPr>
                <w:b/>
                <w:color w:val="000000" w:themeColor="text1"/>
                <w:sz w:val="20"/>
                <w:szCs w:val="20"/>
              </w:rPr>
              <w:t xml:space="preserve">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公司按照申请认证的标准要求，建立并形成了文件化的质量、</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1</w:t>
            </w:r>
            <w:r>
              <w:rPr>
                <w:rFonts w:hint="eastAsia" w:ascii="宋体" w:hAnsi="宋体" w:cs="宋体"/>
                <w:color w:val="000000" w:themeColor="text1"/>
              </w:rPr>
              <w:t>月</w:t>
            </w:r>
            <w:r>
              <w:rPr>
                <w:rFonts w:hint="eastAsia" w:ascii="宋体" w:hAnsi="宋体" w:cs="宋体"/>
                <w:color w:val="000000" w:themeColor="text1"/>
                <w:lang w:val="en-US" w:eastAsia="zh-CN"/>
              </w:rPr>
              <w:t>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948"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8967" w:type="dxa"/>
            <w:tcBorders>
              <w:top w:val="single" w:color="auto" w:sz="4" w:space="0"/>
              <w:left w:val="single" w:color="auto" w:sz="4" w:space="0"/>
              <w:bottom w:val="single" w:color="auto" w:sz="4" w:space="0"/>
              <w:right w:val="single" w:color="auto" w:sz="4" w:space="0"/>
            </w:tcBorders>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人力资源管理</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auto"/>
                <w:sz w:val="20"/>
                <w:szCs w:val="20"/>
                <w:highlight w:val="none"/>
              </w:rPr>
            </w:pPr>
            <w:r>
              <w:rPr>
                <w:rFonts w:hint="eastAsia" w:ascii="宋体" w:hAnsi="宋体"/>
                <w:b/>
                <w:color w:val="auto"/>
                <w:sz w:val="20"/>
                <w:szCs w:val="20"/>
                <w:highlight w:val="none"/>
              </w:rPr>
              <w:t>设备设施（包括信息系统）、</w:t>
            </w:r>
          </w:p>
          <w:p>
            <w:pPr>
              <w:spacing w:line="400" w:lineRule="exact"/>
              <w:ind w:firstLine="420" w:firstLineChars="200"/>
              <w:rPr>
                <w:rFonts w:ascii="宋体" w:hAnsi="宋体"/>
                <w:color w:val="auto"/>
                <w:spacing w:val="-10"/>
                <w:sz w:val="20"/>
                <w:szCs w:val="20"/>
                <w:highlight w:val="none"/>
              </w:rPr>
            </w:pPr>
            <w:r>
              <w:rPr>
                <w:rFonts w:hint="eastAsia" w:ascii="宋体" w:hAnsi="宋体"/>
                <w:color w:val="auto"/>
                <w:szCs w:val="21"/>
                <w:highlight w:val="none"/>
              </w:rPr>
              <w:t>办公场</w:t>
            </w:r>
            <w:r>
              <w:rPr>
                <w:rFonts w:hint="eastAsia" w:ascii="宋体" w:hAnsi="宋体" w:cs="宋体"/>
                <w:color w:val="auto"/>
                <w:szCs w:val="21"/>
                <w:highlight w:val="none"/>
              </w:rPr>
              <w:t>所面积</w:t>
            </w:r>
            <w:r>
              <w:rPr>
                <w:rFonts w:ascii="宋体" w:hAnsi="宋体" w:cs="宋体"/>
                <w:color w:val="auto"/>
                <w:szCs w:val="21"/>
                <w:highlight w:val="none"/>
              </w:rPr>
              <w:t>1</w:t>
            </w:r>
            <w:r>
              <w:rPr>
                <w:rFonts w:hint="eastAsia" w:ascii="宋体" w:hAnsi="宋体" w:cs="宋体"/>
                <w:color w:val="auto"/>
                <w:szCs w:val="21"/>
                <w:highlight w:val="none"/>
              </w:rPr>
              <w:t>20平方左右。主要生产设备包括：</w:t>
            </w:r>
            <w:r>
              <w:rPr>
                <w:rFonts w:hint="eastAsia" w:asciiTheme="minorEastAsia" w:hAnsiTheme="minorEastAsia" w:eastAsiaTheme="minorEastAsia" w:cstheme="minorEastAsia"/>
                <w:color w:val="auto"/>
                <w:szCs w:val="21"/>
                <w:highlight w:val="none"/>
              </w:rPr>
              <w:t>查见《设备台账》，其中列入了电动（手板、手拉）葫芦</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千斤顶</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金属抱杆及配件</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机动绞磨</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机动绞磨</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电缆放线架</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真空滤油机</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真空泵</w:t>
            </w:r>
            <w:r>
              <w:rPr>
                <w:rFonts w:hint="eastAsia" w:asciiTheme="minorEastAsia" w:hAnsiTheme="minorEastAsia" w:eastAsiaTheme="minorEastAsia" w:cstheme="minorEastAsia"/>
                <w:color w:val="auto"/>
                <w:kern w:val="0"/>
                <w:szCs w:val="21"/>
                <w:highlight w:val="none"/>
              </w:rPr>
              <w:t>等</w:t>
            </w:r>
            <w:r>
              <w:rPr>
                <w:rFonts w:hint="eastAsia" w:asciiTheme="minorEastAsia" w:hAnsiTheme="minorEastAsia" w:eastAsiaTheme="minorEastAsia" w:cstheme="minorEastAsia"/>
                <w:color w:val="auto"/>
                <w:szCs w:val="21"/>
                <w:highlight w:val="none"/>
              </w:rPr>
              <w:t>施工机具。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auto"/>
                <w:sz w:val="20"/>
                <w:szCs w:val="20"/>
              </w:rPr>
            </w:pPr>
            <w:r>
              <w:rPr>
                <w:rFonts w:hint="eastAsia" w:ascii="宋体" w:hAnsi="宋体"/>
                <w:b/>
                <w:color w:val="auto"/>
                <w:sz w:val="20"/>
                <w:szCs w:val="20"/>
              </w:rPr>
              <w:t>过程运行环境</w:t>
            </w:r>
          </w:p>
          <w:p>
            <w:pPr>
              <w:spacing w:line="240" w:lineRule="exact"/>
              <w:ind w:firstLine="420" w:firstLineChars="200"/>
              <w:rPr>
                <w:rFonts w:ascii="宋体" w:hAnsi="宋体"/>
                <w:b/>
                <w:color w:val="auto"/>
                <w:sz w:val="20"/>
                <w:szCs w:val="20"/>
              </w:rPr>
            </w:pPr>
            <w:r>
              <w:rPr>
                <w:rFonts w:hint="eastAsia" w:ascii="宋体" w:hAnsi="宋体" w:cs="宋体"/>
                <w:color w:val="auto"/>
                <w:szCs w:val="21"/>
              </w:rPr>
              <w:t>办公、培训场所和内设备布置合理，通道畅通，照明设施齐全，均配备了消防设施等设施。办公室明亮，培训场所光线较充足。每月由办公室对工作环境进行定期检查。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auto"/>
                <w:sz w:val="20"/>
                <w:szCs w:val="20"/>
                <w:highlight w:val="none"/>
              </w:rPr>
            </w:pPr>
            <w:r>
              <w:rPr>
                <w:rFonts w:hint="eastAsia" w:ascii="宋体" w:hAnsi="宋体"/>
                <w:b/>
                <w:color w:val="auto"/>
                <w:sz w:val="20"/>
                <w:szCs w:val="20"/>
                <w:highlight w:val="none"/>
              </w:rPr>
              <w:t>监视和测量资源</w:t>
            </w:r>
          </w:p>
          <w:p>
            <w:pPr>
              <w:spacing w:line="240" w:lineRule="exact"/>
              <w:rPr>
                <w:rFonts w:hint="default" w:ascii="宋体" w:hAnsi="宋体" w:eastAsia="宋体"/>
                <w:b/>
                <w:color w:val="auto"/>
                <w:sz w:val="20"/>
                <w:szCs w:val="20"/>
                <w:highlight w:val="none"/>
                <w:lang w:val="en-US" w:eastAsia="zh-CN"/>
              </w:rPr>
            </w:pPr>
            <w:r>
              <w:rPr>
                <w:rFonts w:hint="eastAsia" w:ascii="宋体"/>
                <w:color w:val="000000"/>
                <w:sz w:val="20"/>
                <w:szCs w:val="20"/>
                <w:lang w:val="en-US" w:eastAsia="zh-CN"/>
              </w:rPr>
              <w:t>风速</w:t>
            </w:r>
            <w:r>
              <w:rPr>
                <w:rFonts w:hint="eastAsia" w:ascii="宋体"/>
                <w:color w:val="000000"/>
                <w:sz w:val="20"/>
                <w:szCs w:val="20"/>
              </w:rPr>
              <w:t>仪、</w:t>
            </w:r>
            <w:r>
              <w:rPr>
                <w:rFonts w:hint="eastAsia" w:ascii="宋体"/>
                <w:color w:val="000000"/>
                <w:sz w:val="20"/>
                <w:szCs w:val="20"/>
                <w:lang w:val="en-US" w:eastAsia="zh-CN"/>
              </w:rPr>
              <w:t>干湿温度计</w:t>
            </w:r>
            <w:r>
              <w:rPr>
                <w:rFonts w:hint="eastAsia" w:ascii="宋体"/>
                <w:color w:val="000000"/>
                <w:sz w:val="20"/>
                <w:szCs w:val="20"/>
              </w:rPr>
              <w:t>、</w:t>
            </w:r>
            <w:r>
              <w:rPr>
                <w:rFonts w:hint="eastAsia" w:ascii="宋体"/>
                <w:color w:val="000000"/>
                <w:sz w:val="20"/>
                <w:szCs w:val="20"/>
                <w:lang w:val="en-US" w:eastAsia="zh-CN"/>
              </w:rPr>
              <w:t>焊接检验</w:t>
            </w:r>
            <w:r>
              <w:rPr>
                <w:rFonts w:hint="eastAsia" w:ascii="宋体"/>
                <w:color w:val="000000"/>
                <w:sz w:val="20"/>
                <w:szCs w:val="20"/>
              </w:rPr>
              <w:t>尺、数字万用表等</w:t>
            </w:r>
            <w:r>
              <w:rPr>
                <w:rFonts w:hint="eastAsia"/>
                <w:color w:val="auto"/>
                <w:szCs w:val="21"/>
                <w:highlight w:val="none"/>
              </w:rPr>
              <w:t>、钢卷尺（标）等</w:t>
            </w:r>
            <w:r>
              <w:rPr>
                <w:rFonts w:hint="eastAsia" w:ascii="宋体" w:hAnsi="宋体" w:cs="宋体"/>
                <w:color w:val="auto"/>
                <w:highlight w:val="none"/>
              </w:rPr>
              <w:t>。</w:t>
            </w:r>
            <w:r>
              <w:rPr>
                <w:rFonts w:hint="eastAsia" w:ascii="宋体" w:hAnsi="宋体" w:cs="宋体"/>
                <w:color w:val="auto"/>
                <w:highlight w:val="none"/>
                <w:lang w:val="en-US" w:eastAsia="zh-CN"/>
              </w:rPr>
              <w:t>提供检测报告</w:t>
            </w:r>
            <w:r>
              <w:rPr>
                <w:rFonts w:hint="eastAsia" w:ascii="宋体" w:hAnsi="宋体" w:cs="宋体"/>
                <w:color w:val="auto"/>
                <w:highlight w:val="none"/>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sz w:val="20"/>
                <w:szCs w:val="20"/>
              </w:rPr>
            </w:pPr>
            <w:r>
              <w:rPr>
                <w:rFonts w:hint="eastAsia" w:ascii="宋体" w:hAnsi="宋体"/>
                <w:b/>
                <w:sz w:val="20"/>
                <w:szCs w:val="20"/>
              </w:rPr>
              <w:t>环保设施：</w:t>
            </w:r>
          </w:p>
          <w:p>
            <w:pPr>
              <w:spacing w:line="240" w:lineRule="exact"/>
              <w:ind w:firstLine="400" w:firstLineChars="200"/>
              <w:rPr>
                <w:rFonts w:ascii="宋体" w:hAnsi="宋体"/>
                <w:sz w:val="20"/>
                <w:szCs w:val="20"/>
              </w:rPr>
            </w:pPr>
            <w:r>
              <w:rPr>
                <w:rFonts w:hint="eastAsia" w:ascii="宋体" w:hAnsi="宋体"/>
                <w:sz w:val="20"/>
                <w:szCs w:val="20"/>
              </w:rPr>
              <w:t>消防栓、灭火器、消防砂、消防桶、消防铁锹等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ind w:firstLine="400" w:firstLineChars="200"/>
              <w:rPr>
                <w:rFonts w:ascii="宋体" w:hAnsi="宋体"/>
                <w:sz w:val="20"/>
                <w:szCs w:val="20"/>
              </w:rPr>
            </w:pPr>
            <w:r>
              <w:rPr>
                <w:rFonts w:hint="eastAsia" w:ascii="宋体" w:hAnsi="宋体"/>
                <w:sz w:val="20"/>
                <w:szCs w:val="20"/>
              </w:rPr>
              <w:t>消防栓、灭火器、消防砂、消防桶、消防铁锹等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6" w:hRule="atLeast"/>
          <w:jc w:val="center"/>
        </w:trPr>
        <w:tc>
          <w:tcPr>
            <w:tcW w:w="948"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8967" w:type="dxa"/>
            <w:tcBorders>
              <w:top w:val="single" w:color="auto" w:sz="4" w:space="0"/>
              <w:left w:val="single" w:color="auto" w:sz="4" w:space="0"/>
              <w:bottom w:val="single" w:color="auto" w:sz="4" w:space="0"/>
              <w:right w:val="single" w:color="auto" w:sz="4" w:space="0"/>
            </w:tcBorders>
          </w:tcPr>
          <w:p>
            <w:pPr>
              <w:spacing w:line="30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cs="宋体"/>
                <w:szCs w:val="21"/>
              </w:rPr>
            </w:pPr>
            <w:r>
              <w:rPr>
                <w:rFonts w:hint="eastAsia" w:ascii="宋体" w:hAnsi="宋体" w:cs="宋体"/>
                <w:szCs w:val="21"/>
              </w:rPr>
              <w:t>最高管理者组织制定了QEO方针：“以人为本，开拓创新，持续改进质量；防尘降噪，遵守法规，提高环境绩效；安全第一，预防为主，杜绝重大事故；”现行的方针在手册有专门的释议，具备适宜性。通过会议、张贴等方式进行传达宣贯，管理绩效表明其方针能够通过管理体系加以有效实施、实现及动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ind w:left="159" w:hanging="159" w:hangingChars="79"/>
              <w:rPr>
                <w:b/>
                <w:color w:val="000000" w:themeColor="text1"/>
                <w:sz w:val="20"/>
                <w:szCs w:val="20"/>
              </w:rPr>
            </w:pPr>
            <w:r>
              <w:rPr>
                <w:b/>
                <w:color w:val="000000" w:themeColor="text1"/>
                <w:sz w:val="20"/>
                <w:szCs w:val="20"/>
              </w:rPr>
              <w:t xml:space="preserve">2. </w:t>
            </w:r>
            <w:r>
              <w:rPr>
                <w:rFonts w:hint="eastAsia"/>
                <w:b/>
                <w:color w:val="000000" w:themeColor="text1"/>
                <w:sz w:val="20"/>
                <w:szCs w:val="20"/>
              </w:rPr>
              <w:t>组织内部沟通的充分性与效果；（</w:t>
            </w:r>
            <w:r>
              <w:rPr>
                <w:b/>
                <w:color w:val="000000" w:themeColor="text1"/>
                <w:sz w:val="20"/>
                <w:szCs w:val="20"/>
              </w:rPr>
              <w:t>OHSMS</w:t>
            </w:r>
            <w:r>
              <w:rPr>
                <w:rFonts w:hint="eastAsia"/>
                <w:b/>
                <w:color w:val="000000" w:themeColor="text1"/>
                <w:sz w:val="20"/>
                <w:szCs w:val="20"/>
              </w:rPr>
              <w:t>员工参与风险管理</w:t>
            </w:r>
            <w:r>
              <w:rPr>
                <w:b/>
                <w:color w:val="000000" w:themeColor="text1"/>
                <w:sz w:val="20"/>
                <w:szCs w:val="20"/>
              </w:rPr>
              <w:t>/</w:t>
            </w:r>
            <w:r>
              <w:rPr>
                <w:rFonts w:hint="eastAsia"/>
                <w:b/>
                <w:color w:val="000000" w:themeColor="text1"/>
                <w:sz w:val="20"/>
                <w:szCs w:val="20"/>
              </w:rPr>
              <w:t>健康安全事务的关心和影响力；组织对外联络关注顾客的感受情况、信息交流包括通报相关方的情况等）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宋体" w:hAnsi="宋体" w:cs="宋体"/>
                <w:color w:val="000000"/>
                <w:szCs w:val="21"/>
              </w:rPr>
            </w:pPr>
            <w:r>
              <w:rPr>
                <w:rFonts w:hint="eastAsia" w:ascii="楷体_GB2312" w:eastAsia="楷体_GB2312"/>
                <w:b/>
                <w:color w:val="000000" w:themeColor="text1"/>
                <w:sz w:val="20"/>
                <w:szCs w:val="20"/>
              </w:rPr>
              <w:t>内部沟通的效果：</w:t>
            </w:r>
            <w:r>
              <w:rPr>
                <w:rFonts w:hint="eastAsia" w:ascii="宋体" w:hAnsi="宋体" w:cs="宋体"/>
                <w:color w:val="000000"/>
                <w:szCs w:val="21"/>
              </w:rPr>
              <w:t>良好</w:t>
            </w: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宋体" w:hAnsi="宋体" w:cs="宋体"/>
                <w:color w:val="000000"/>
                <w:szCs w:val="21"/>
              </w:rPr>
            </w:pPr>
            <w:r>
              <w:rPr>
                <w:rFonts w:hint="eastAsia" w:ascii="楷体_GB2312" w:eastAsia="楷体_GB2312"/>
                <w:b/>
                <w:color w:val="000000" w:themeColor="text1"/>
                <w:sz w:val="20"/>
                <w:szCs w:val="20"/>
              </w:rPr>
              <w:t>外部信息的接收、成文并答复的情况（E、S填写）：</w:t>
            </w:r>
            <w:r>
              <w:rPr>
                <w:rFonts w:hint="eastAsia" w:ascii="宋体" w:hAnsi="宋体" w:cs="宋体"/>
                <w:color w:val="000000"/>
                <w:szCs w:val="21"/>
              </w:rPr>
              <w:t>对会议通知和规定等登记处理。</w:t>
            </w: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ascii="宋体" w:hAnsi="宋体" w:cs="Arial"/>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2"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组织对重要过程实施控制的结果</w:t>
            </w:r>
          </w:p>
          <w:p>
            <w:pPr>
              <w:spacing w:line="240" w:lineRule="exact"/>
              <w:ind w:left="188" w:leftChars="42" w:hanging="100" w:hangingChars="5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pPr>
              <w:spacing w:line="240" w:lineRule="exact"/>
              <w:ind w:firstLine="420" w:firstLineChars="200"/>
              <w:rPr>
                <w:rFonts w:ascii="宋体" w:hAnsi="宋体" w:cs="宋体"/>
                <w:color w:val="000000"/>
                <w:szCs w:val="21"/>
                <w:highlight w:val="none"/>
              </w:rPr>
            </w:pPr>
            <w:r>
              <w:rPr>
                <w:rFonts w:hint="eastAsia" w:ascii="宋体" w:hAnsi="宋体" w:cs="宋体"/>
                <w:color w:val="000000"/>
                <w:szCs w:val="21"/>
              </w:rPr>
              <w:t>特殊过程：</w:t>
            </w:r>
            <w:r>
              <w:rPr>
                <w:rFonts w:hint="eastAsia" w:ascii="宋体" w:hAnsi="宋体" w:cs="宋体"/>
                <w:color w:val="000000"/>
                <w:szCs w:val="21"/>
                <w:highlight w:val="none"/>
              </w:rPr>
              <w:t>结构焊接过程、特殊防水过程、大体积混凝土浇筑等，对人员和设备及工艺参数都做了确认，提供特殊过程确认记录。</w:t>
            </w:r>
          </w:p>
          <w:p>
            <w:pPr>
              <w:spacing w:line="240" w:lineRule="exact"/>
              <w:ind w:firstLine="420" w:firstLineChars="200"/>
              <w:rPr>
                <w:rFonts w:ascii="宋体" w:hAnsi="宋体" w:cs="宋体"/>
                <w:color w:val="auto"/>
                <w:szCs w:val="21"/>
              </w:rPr>
            </w:pPr>
            <w:r>
              <w:rPr>
                <w:rFonts w:hint="eastAsia" w:ascii="宋体" w:hAnsi="宋体" w:cs="宋体"/>
                <w:color w:val="000000"/>
                <w:szCs w:val="21"/>
                <w:highlight w:val="none"/>
              </w:rPr>
              <w:t>关键过程为隐蔽工程、基坑开挖、模板支护等，制定作业指导书</w:t>
            </w:r>
            <w:r>
              <w:rPr>
                <w:rFonts w:hint="eastAsia" w:ascii="宋体" w:hAnsi="宋体" w:cs="宋体"/>
                <w:color w:val="000000"/>
                <w:szCs w:val="21"/>
              </w:rPr>
              <w:t>。</w:t>
            </w:r>
          </w:p>
          <w:p>
            <w:pPr>
              <w:spacing w:line="240" w:lineRule="exact"/>
              <w:ind w:firstLine="420" w:firstLineChars="200"/>
              <w:rPr>
                <w:b/>
                <w:color w:val="000000" w:themeColor="text1"/>
                <w:sz w:val="20"/>
                <w:szCs w:val="20"/>
              </w:rPr>
            </w:pPr>
            <w:r>
              <w:rPr>
                <w:rFonts w:hint="eastAsia" w:ascii="宋体" w:hAnsi="宋体" w:cs="宋体"/>
                <w:color w:val="000000"/>
                <w:szCs w:val="21"/>
              </w:rPr>
              <w:t>对关键过程和特殊过程有效控制。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7"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工程检验控制规定，规定了公司各管理层次和检测部门在各阶段对产品服务质量实施检查与验收的管理要求。内容基本具备全面性、系统性及可操作性。质量检查与验收均在工程前予以实现，范围包括：过程、最终产品。以此保证持续向顾客稳定提供稳定合格的产品。</w:t>
            </w:r>
          </w:p>
          <w:p>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8"/>
                <w:sz w:val="20"/>
                <w:szCs w:val="20"/>
              </w:rPr>
            </w:pPr>
            <w:r>
              <w:rPr>
                <w:b/>
                <w:color w:val="000000" w:themeColor="text1"/>
                <w:sz w:val="20"/>
                <w:szCs w:val="20"/>
              </w:rPr>
              <w:t xml:space="preserve">6. </w:t>
            </w:r>
            <w:r>
              <w:rPr>
                <w:rFonts w:hint="eastAsia"/>
                <w:b/>
                <w:color w:val="000000" w:themeColor="text1"/>
                <w:spacing w:val="-8"/>
                <w:sz w:val="20"/>
                <w:szCs w:val="20"/>
              </w:rPr>
              <w:t>不合格品</w:t>
            </w:r>
            <w:r>
              <w:rPr>
                <w:b/>
                <w:color w:val="000000" w:themeColor="text1"/>
                <w:spacing w:val="-8"/>
                <w:sz w:val="20"/>
                <w:szCs w:val="20"/>
              </w:rPr>
              <w:t>/</w:t>
            </w:r>
            <w:r>
              <w:rPr>
                <w:rFonts w:hint="eastAsia"/>
                <w:b/>
                <w:color w:val="000000" w:themeColor="text1"/>
                <w:spacing w:val="-8"/>
                <w:sz w:val="20"/>
                <w:szCs w:val="20"/>
              </w:rPr>
              <w:t>项的识别、控制</w:t>
            </w:r>
            <w:r>
              <w:rPr>
                <w:b/>
                <w:color w:val="000000" w:themeColor="text1"/>
                <w:spacing w:val="-8"/>
                <w:sz w:val="20"/>
                <w:szCs w:val="20"/>
              </w:rPr>
              <w:t>;</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pPr>
              <w:tabs>
                <w:tab w:val="left" w:pos="2552"/>
              </w:tabs>
              <w:spacing w:line="360" w:lineRule="exact"/>
              <w:ind w:firstLine="502" w:firstLineChars="250"/>
              <w:rPr>
                <w:b/>
                <w:color w:val="000000" w:themeColor="text1"/>
                <w:sz w:val="20"/>
                <w:szCs w:val="20"/>
              </w:rPr>
            </w:pPr>
            <w:r>
              <w:rPr>
                <w:rFonts w:hint="eastAsia" w:asciiTheme="minorEastAsia" w:hAnsiTheme="minorEastAsia" w:eastAsiaTheme="minorEastAsia"/>
                <w:b/>
                <w:color w:val="000000" w:themeColor="text1"/>
                <w:sz w:val="20"/>
                <w:szCs w:val="20"/>
                <w:lang w:val="en-US" w:eastAsia="zh-CN"/>
              </w:rPr>
              <w:t>本次审核不涉及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8. OHS </w:t>
            </w:r>
            <w:r>
              <w:rPr>
                <w:rFonts w:hint="eastAsia"/>
                <w:b/>
                <w:color w:val="000000" w:themeColor="text1"/>
                <w:sz w:val="20"/>
                <w:szCs w:val="20"/>
              </w:rPr>
              <w:t>组织对不可接受风险实施控制的结果</w:t>
            </w:r>
          </w:p>
          <w:p>
            <w:pPr>
              <w:spacing w:line="240" w:lineRule="exact"/>
              <w:rPr>
                <w:b/>
                <w:color w:val="000000" w:themeColor="text1"/>
                <w:sz w:val="20"/>
                <w:szCs w:val="20"/>
              </w:rPr>
            </w:pPr>
            <w:r>
              <w:rPr>
                <w:rFonts w:hint="eastAsia" w:asciiTheme="minorEastAsia" w:hAnsiTheme="minorEastAsia" w:eastAsiaTheme="minorEastAsia"/>
                <w:b/>
                <w:color w:val="000000" w:themeColor="text1"/>
                <w:sz w:val="20"/>
                <w:szCs w:val="20"/>
                <w:lang w:val="en-US" w:eastAsia="zh-CN"/>
              </w:rPr>
              <w:t>本次审核不涉及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ind w:left="201" w:hanging="201" w:hangingChars="100"/>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pPr>
              <w:spacing w:line="240" w:lineRule="exact"/>
              <w:ind w:firstLine="402" w:firstLineChars="200"/>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z w:val="20"/>
                <w:szCs w:val="20"/>
                <w:lang w:val="en-US" w:eastAsia="zh-CN"/>
              </w:rPr>
              <w:t>本次审核不涉及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w:t>
            </w:r>
            <w:r>
              <w:rPr>
                <w:b/>
                <w:color w:val="000000" w:themeColor="text1"/>
                <w:sz w:val="20"/>
                <w:szCs w:val="20"/>
              </w:rPr>
              <w:t xml:space="preserve">; </w:t>
            </w:r>
            <w:r>
              <w:rPr>
                <w:rFonts w:hint="eastAsia"/>
                <w:b/>
                <w:sz w:val="20"/>
                <w:szCs w:val="20"/>
              </w:rPr>
              <w:t>（适用时）</w:t>
            </w:r>
          </w:p>
          <w:p>
            <w:pPr>
              <w:spacing w:line="240" w:lineRule="exact"/>
              <w:ind w:firstLine="420" w:firstLineChars="200"/>
              <w:rPr>
                <w:b/>
                <w:color w:val="000000" w:themeColor="text1"/>
                <w:sz w:val="20"/>
                <w:szCs w:val="20"/>
              </w:rPr>
            </w:pPr>
            <w:r>
              <w:rPr>
                <w:rFonts w:hint="eastAsia" w:asciiTheme="minorEastAsia" w:hAnsiTheme="minorEastAsia" w:eastAsiaTheme="minorEastAsia"/>
                <w:bCs/>
                <w:iCs/>
              </w:rPr>
              <w:t>暂时无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sz w:val="20"/>
                <w:szCs w:val="20"/>
              </w:rPr>
            </w:pPr>
            <w:r>
              <w:rPr>
                <w:b/>
                <w:color w:val="000000" w:themeColor="text1"/>
                <w:sz w:val="20"/>
                <w:szCs w:val="20"/>
              </w:rPr>
              <w:t>11 .</w:t>
            </w:r>
            <w:r>
              <w:rPr>
                <w:rFonts w:hint="eastAsia"/>
                <w:b/>
                <w:color w:val="000000" w:themeColor="text1"/>
                <w:sz w:val="20"/>
                <w:szCs w:val="20"/>
              </w:rPr>
              <w:t>对危险化学品销售、使用、储存、运输处置，规定的执行力度</w:t>
            </w:r>
            <w:r>
              <w:rPr>
                <w:b/>
                <w:color w:val="000000" w:themeColor="text1"/>
                <w:sz w:val="20"/>
                <w:szCs w:val="20"/>
              </w:rPr>
              <w:t>(</w:t>
            </w:r>
            <w:r>
              <w:rPr>
                <w:rFonts w:hint="eastAsia"/>
                <w:b/>
                <w:color w:val="000000" w:themeColor="text1"/>
                <w:sz w:val="20"/>
                <w:szCs w:val="20"/>
              </w:rPr>
              <w:t>必要时</w:t>
            </w:r>
            <w:r>
              <w:rPr>
                <w:b/>
                <w:color w:val="000000" w:themeColor="text1"/>
                <w:sz w:val="20"/>
                <w:szCs w:val="20"/>
              </w:rPr>
              <w:t>);</w:t>
            </w:r>
            <w:r>
              <w:rPr>
                <w:rFonts w:hint="eastAsia"/>
                <w:b/>
                <w:sz w:val="20"/>
                <w:szCs w:val="20"/>
              </w:rPr>
              <w:t>（适用时）</w:t>
            </w:r>
          </w:p>
          <w:p>
            <w:pPr>
              <w:spacing w:line="240" w:lineRule="exact"/>
              <w:ind w:firstLine="400" w:firstLineChars="200"/>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948"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8967" w:type="dxa"/>
            <w:tcBorders>
              <w:top w:val="single" w:color="auto" w:sz="4" w:space="0"/>
              <w:left w:val="single" w:color="auto" w:sz="4" w:space="0"/>
              <w:bottom w:val="single" w:color="auto" w:sz="4" w:space="0"/>
              <w:right w:val="single" w:color="auto" w:sz="4" w:space="0"/>
            </w:tcBorders>
          </w:tcPr>
          <w:p>
            <w:pPr>
              <w:spacing w:line="240" w:lineRule="exact"/>
              <w:ind w:left="100" w:hanging="100" w:hangingChars="50"/>
              <w:rPr>
                <w:b/>
                <w:color w:val="000000" w:themeColor="text1"/>
                <w:sz w:val="20"/>
                <w:szCs w:val="20"/>
              </w:rPr>
            </w:pPr>
            <w:r>
              <w:rPr>
                <w:b/>
                <w:color w:val="000000" w:themeColor="text1"/>
                <w:sz w:val="20"/>
                <w:szCs w:val="20"/>
              </w:rPr>
              <w:t>1. .</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r>
              <w:rPr>
                <w:rFonts w:hint="eastAsia"/>
                <w:b/>
                <w:sz w:val="20"/>
                <w:szCs w:val="20"/>
              </w:rPr>
              <w:t>（适用时）</w:t>
            </w:r>
          </w:p>
          <w:p>
            <w:pPr>
              <w:spacing w:line="240" w:lineRule="exact"/>
              <w:ind w:firstLine="315" w:firstLineChars="1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w:t>
            </w:r>
            <w:r>
              <w:rPr>
                <w:rFonts w:ascii="宋体" w:hAnsi="宋体" w:cs="宋体"/>
                <w:szCs w:val="21"/>
              </w:rPr>
              <w:t>9</w:t>
            </w:r>
            <w:r>
              <w:rPr>
                <w:rFonts w:hint="eastAsia" w:ascii="宋体" w:hAnsi="宋体" w:cs="宋体"/>
                <w:szCs w:val="21"/>
              </w:rPr>
              <w:t>月</w:t>
            </w:r>
            <w:r>
              <w:rPr>
                <w:rFonts w:hint="eastAsia" w:ascii="宋体" w:hAnsi="宋体" w:cs="宋体"/>
                <w:color w:val="000000"/>
                <w:szCs w:val="21"/>
              </w:rPr>
              <w:t>目标的测量，总体已达到或超过了规定的目标值。</w:t>
            </w:r>
            <w:r>
              <w:rPr>
                <w:rFonts w:hint="eastAsia" w:ascii="宋体" w:hAnsi="宋体" w:cs="宋体"/>
                <w:sz w:val="21"/>
                <w:szCs w:val="21"/>
                <w:highlight w:val="none"/>
                <w:lang w:bidi="ar"/>
              </w:rPr>
              <w:t>并将指标进行了分解。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ind w:left="100" w:hanging="100" w:hangingChars="50"/>
              <w:rPr>
                <w:b/>
                <w:color w:val="000000" w:themeColor="text1"/>
                <w:sz w:val="20"/>
                <w:szCs w:val="20"/>
              </w:rPr>
            </w:pPr>
            <w:r>
              <w:rPr>
                <w:b/>
                <w:color w:val="000000" w:themeColor="text1"/>
                <w:sz w:val="20"/>
                <w:szCs w:val="20"/>
              </w:rPr>
              <w:t>2.</w:t>
            </w:r>
            <w:r>
              <w:rPr>
                <w:rFonts w:hint="eastAsia"/>
                <w:b/>
                <w:color w:val="000000" w:themeColor="text1"/>
                <w:sz w:val="20"/>
                <w:szCs w:val="20"/>
              </w:rPr>
              <w:t>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5月</w:t>
            </w:r>
            <w:r>
              <w:rPr>
                <w:rFonts w:hint="eastAsia" w:ascii="宋体" w:hAnsi="宋体" w:cs="宋体"/>
                <w:szCs w:val="21"/>
              </w:rPr>
              <w:t>实施，满意度评价9</w:t>
            </w:r>
            <w:r>
              <w:rPr>
                <w:rFonts w:ascii="宋体" w:hAnsi="宋体" w:cs="宋体"/>
                <w:szCs w:val="21"/>
              </w:rPr>
              <w:t>8</w:t>
            </w:r>
            <w:r>
              <w:rPr>
                <w:rFonts w:hint="eastAsia" w:ascii="宋体" w:hAnsi="宋体" w:cs="宋体"/>
                <w:szCs w:val="21"/>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67"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pPr>
              <w:spacing w:line="240" w:lineRule="exact"/>
              <w:ind w:firstLine="420" w:firstLineChars="200"/>
              <w:rPr>
                <w:rFonts w:ascii="宋体" w:hAnsi="宋体" w:eastAsia="宋体" w:cs="Times New Roman"/>
                <w:kern w:val="2"/>
                <w:sz w:val="21"/>
                <w:szCs w:val="21"/>
                <w:lang w:val="en-US" w:eastAsia="zh-CN" w:bidi="ar-SA"/>
              </w:rPr>
            </w:pPr>
            <w:r>
              <w:rPr>
                <w:rFonts w:hint="eastAsia" w:ascii="宋体" w:hAnsi="宋体"/>
                <w:szCs w:val="21"/>
              </w:rPr>
              <w:t>建立有《内部审核控制程序》，规定了内审频次一年一次，内审时间：20</w:t>
            </w:r>
            <w:r>
              <w:rPr>
                <w:rFonts w:hint="eastAsia" w:ascii="宋体" w:hAnsi="宋体"/>
                <w:szCs w:val="21"/>
                <w:lang w:val="en-US" w:eastAsia="zh-CN"/>
              </w:rPr>
              <w:t>20</w:t>
            </w:r>
            <w:r>
              <w:rPr>
                <w:rFonts w:hint="eastAsia" w:ascii="宋体" w:hAnsi="宋体"/>
                <w:szCs w:val="21"/>
              </w:rPr>
              <w:t>年6月</w:t>
            </w: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4</w:t>
            </w:r>
            <w:r>
              <w:rPr>
                <w:rFonts w:hint="eastAsia" w:ascii="宋体" w:hAnsi="宋体"/>
                <w:szCs w:val="21"/>
              </w:rPr>
              <w:t>日，拟定了审核实施表，明确了内审范围，内审人员经培训合格上岗，能力满足要求。开具</w:t>
            </w:r>
            <w:r>
              <w:rPr>
                <w:rFonts w:hint="eastAsia" w:ascii="宋体" w:hAnsi="宋体"/>
                <w:szCs w:val="21"/>
                <w:lang w:val="en-US" w:eastAsia="zh-CN"/>
              </w:rPr>
              <w:t>1</w:t>
            </w:r>
            <w:r>
              <w:rPr>
                <w:rFonts w:hint="eastAsia" w:ascii="宋体" w:hAnsi="宋体"/>
                <w:szCs w:val="21"/>
              </w:rPr>
              <w:t>个不符合项报告：针对不符合项，已及时采取纠正措施后，经内审员验证关闭。内审的有效性需要改善。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67"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pPr>
              <w:spacing w:line="240" w:lineRule="exact"/>
              <w:ind w:firstLine="420" w:firstLineChars="200"/>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szCs w:val="21"/>
              </w:rPr>
              <w:t>管理评审频次为一年一次、本次管理评审于</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年6月2</w:t>
            </w:r>
            <w:r>
              <w:rPr>
                <w:rFonts w:hint="eastAsia" w:ascii="宋体" w:hAnsi="宋体"/>
                <w:szCs w:val="21"/>
                <w:lang w:val="en-US" w:eastAsia="zh-CN"/>
              </w:rPr>
              <w:t>7</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w:t>
            </w:r>
            <w:r>
              <w:rPr>
                <w:rFonts w:hint="eastAsia" w:ascii="宋体" w:hAnsi="宋体" w:cs="宋体"/>
                <w:szCs w:val="21"/>
                <w:lang w:val="en-US" w:eastAsia="zh-CN"/>
              </w:rPr>
              <w:t>欠</w:t>
            </w:r>
            <w:r>
              <w:rPr>
                <w:rFonts w:hint="eastAsia" w:ascii="宋体" w:hAnsi="宋体" w:cs="宋体"/>
                <w:szCs w:val="21"/>
              </w:rPr>
              <w:t>具体，需改善</w:t>
            </w:r>
            <w:r>
              <w:rPr>
                <w:rFonts w:hint="eastAsia" w:ascii="宋体" w:hAnsi="宋体" w:cs="宋体"/>
                <w:szCs w:val="21"/>
                <w:lang w:val="en-US" w:eastAsia="zh-CN"/>
              </w:rPr>
              <w:t>已交流</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pPr>
              <w:spacing w:line="320" w:lineRule="exact"/>
              <w:ind w:firstLine="420" w:firstLineChars="200"/>
              <w:rPr>
                <w:rFonts w:hint="eastAsia"/>
                <w:szCs w:val="21"/>
                <w:lang w:val="en-US" w:eastAsia="zh-CN"/>
              </w:rPr>
            </w:pPr>
            <w:r>
              <w:rPr>
                <w:rFonts w:hint="eastAsia"/>
                <w:szCs w:val="21"/>
                <w:lang w:val="en-US" w:eastAsia="zh-CN"/>
              </w:rPr>
              <w:t>本次审核不涉及</w:t>
            </w:r>
          </w:p>
          <w:p>
            <w:pPr>
              <w:spacing w:line="32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被动监测：自体系建立以来没有发生过环境污染事故。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pPr>
              <w:spacing w:line="240" w:lineRule="exact"/>
              <w:ind w:firstLine="420" w:firstLineChars="200"/>
              <w:rPr>
                <w:rFonts w:hint="eastAsia" w:eastAsia="宋体"/>
                <w:b/>
                <w:szCs w:val="21"/>
                <w:lang w:val="en-US" w:eastAsia="zh-CN"/>
              </w:rPr>
            </w:pPr>
            <w:r>
              <w:rPr>
                <w:rFonts w:hint="eastAsia"/>
                <w:szCs w:val="21"/>
                <w:lang w:val="en-US" w:eastAsia="zh-CN"/>
              </w:rPr>
              <w:t>本次审核不涉及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67" w:type="dxa"/>
            <w:tcBorders>
              <w:top w:val="single" w:color="auto" w:sz="4" w:space="0"/>
              <w:left w:val="single" w:color="auto" w:sz="4" w:space="0"/>
              <w:bottom w:val="single" w:color="auto" w:sz="4" w:space="0"/>
              <w:right w:val="single" w:color="auto" w:sz="4" w:space="0"/>
            </w:tcBorders>
          </w:tcPr>
          <w:p>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pPr>
              <w:spacing w:line="320" w:lineRule="exact"/>
              <w:rPr>
                <w:rFonts w:hint="eastAsia" w:asciiTheme="minorEastAsia" w:hAnsiTheme="minorEastAsia" w:eastAsiaTheme="minorEastAsia"/>
                <w:b/>
                <w:szCs w:val="21"/>
              </w:rPr>
            </w:pPr>
            <w:r>
              <w:rPr>
                <w:rFonts w:hint="eastAsia" w:asciiTheme="minorEastAsia" w:hAnsiTheme="minorEastAsia" w:eastAsiaTheme="minorEastAsia"/>
                <w:b/>
                <w:szCs w:val="21"/>
              </w:rPr>
              <w:t>职业健康安全监测：每季度进行日常检查。未发生不满足要求的情况。</w:t>
            </w:r>
          </w:p>
          <w:p>
            <w:pPr>
              <w:spacing w:line="320" w:lineRule="exact"/>
              <w:rPr>
                <w:rFonts w:hint="eastAsia" w:asciiTheme="minorEastAsia" w:hAnsiTheme="minorEastAsia" w:eastAsiaTheme="minorEastAsia"/>
                <w:b/>
                <w:szCs w:val="21"/>
              </w:rPr>
            </w:pPr>
            <w:r>
              <w:rPr>
                <w:rFonts w:hint="eastAsia" w:asciiTheme="minorEastAsia" w:hAnsiTheme="minorEastAsia" w:eastAsiaTheme="minorEastAsia"/>
                <w:b/>
                <w:color w:val="000000" w:themeColor="text1"/>
                <w:sz w:val="20"/>
                <w:szCs w:val="20"/>
                <w:lang w:val="en-US" w:eastAsia="zh-CN"/>
              </w:rPr>
              <w:t>本次审核不涉及</w:t>
            </w:r>
          </w:p>
          <w:p>
            <w:pPr>
              <w:spacing w:line="240" w:lineRule="exact"/>
              <w:ind w:firstLine="402" w:firstLineChars="20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pPr>
              <w:spacing w:line="240" w:lineRule="exact"/>
              <w:ind w:firstLine="402" w:firstLineChars="200"/>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67" w:type="dxa"/>
            <w:tcBorders>
              <w:top w:val="single" w:color="auto" w:sz="4" w:space="0"/>
              <w:left w:val="single" w:color="auto" w:sz="4" w:space="0"/>
              <w:bottom w:val="single" w:color="auto" w:sz="4" w:space="0"/>
              <w:right w:val="single" w:color="auto" w:sz="4" w:space="0"/>
            </w:tcBorders>
          </w:tcPr>
          <w:p>
            <w:pPr>
              <w:widowControl/>
              <w:spacing w:line="240" w:lineRule="exact"/>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其他能够标明组织绩效、信誉的证据</w:t>
            </w:r>
            <w:r>
              <w:rPr>
                <w:b/>
                <w:color w:val="000000" w:themeColor="text1"/>
                <w:sz w:val="20"/>
                <w:szCs w:val="20"/>
              </w:rPr>
              <w:t>/</w:t>
            </w:r>
            <w:r>
              <w:rPr>
                <w:rFonts w:hint="eastAsia"/>
                <w:b/>
                <w:color w:val="000000" w:themeColor="text1"/>
                <w:sz w:val="20"/>
                <w:szCs w:val="20"/>
              </w:rPr>
              <w:t>信息：</w:t>
            </w:r>
          </w:p>
          <w:p>
            <w:pPr>
              <w:widowControl/>
              <w:spacing w:line="240" w:lineRule="exact"/>
              <w:ind w:firstLine="402" w:firstLineChars="200"/>
              <w:rPr>
                <w:b/>
                <w:sz w:val="20"/>
                <w:szCs w:val="20"/>
              </w:rPr>
            </w:pPr>
            <w:r>
              <w:rPr>
                <w:rFonts w:hint="eastAsia"/>
                <w:b/>
                <w:sz w:val="20"/>
                <w:szCs w:val="20"/>
              </w:rPr>
              <w:t>公司成立时间二年，暂无。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94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pPr>
              <w:spacing w:line="32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pPr>
              <w:spacing w:line="240" w:lineRule="exact"/>
              <w:ind w:firstLine="322" w:firstLineChars="200"/>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pPr>
              <w:spacing w:line="240" w:lineRule="exact"/>
              <w:rPr>
                <w:b/>
                <w:color w:val="000000" w:themeColor="text1"/>
                <w:sz w:val="20"/>
                <w:szCs w:val="20"/>
              </w:rPr>
            </w:pPr>
            <w:r>
              <w:rPr>
                <w:rFonts w:hint="eastAsia"/>
                <w:b/>
                <w:color w:val="000000" w:themeColor="text1"/>
                <w:sz w:val="20"/>
                <w:szCs w:val="20"/>
              </w:rPr>
              <w:t>已经有效整改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创新情况</w:t>
            </w:r>
          </w:p>
          <w:p>
            <w:pPr>
              <w:spacing w:line="240" w:lineRule="exact"/>
              <w:ind w:firstLine="402" w:firstLineChars="200"/>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p>
            <w:pPr>
              <w:spacing w:line="240" w:lineRule="exact"/>
              <w:ind w:firstLine="422" w:firstLineChars="200"/>
              <w:rPr>
                <w:b/>
                <w:color w:val="000000" w:themeColor="text1"/>
                <w:szCs w:val="21"/>
              </w:rPr>
            </w:pPr>
            <w:r>
              <w:rPr>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574" w:leftChars="-373" w:hanging="209" w:hangingChars="99"/>
        <w:rPr>
          <w:b/>
          <w:color w:val="FF0000"/>
        </w:rPr>
      </w:pPr>
      <w:r>
        <w:rPr>
          <w:b/>
        </w:rPr>
        <w:t xml:space="preserve">1. </w:t>
      </w:r>
      <w:r>
        <w:rPr>
          <w:rFonts w:hint="eastAsia"/>
          <w:b/>
          <w:color w:val="000000" w:themeColor="text1"/>
        </w:rPr>
        <w:t>本次审核共开具不符合项报告</w:t>
      </w:r>
      <w:r>
        <w:rPr>
          <w:rFonts w:hint="eastAsia"/>
          <w:b/>
          <w:color w:val="000000" w:themeColor="text1"/>
          <w:lang w:val="en-US" w:eastAsia="zh-CN"/>
        </w:rPr>
        <w:t xml:space="preserve"> 1 </w:t>
      </w:r>
      <w:r>
        <w:rPr>
          <w:rFonts w:hint="eastAsia"/>
          <w:b/>
          <w:color w:val="000000" w:themeColor="text1"/>
        </w:rPr>
        <w:t>项；其中</w:t>
      </w:r>
      <w:r>
        <w:rPr>
          <w:b/>
          <w:color w:val="000000" w:themeColor="text1"/>
        </w:rPr>
        <w:pict>
          <v:line id="直接连接符 1" o:spid="_x0000_s2053" o:spt="20" style="position:absolute;left:0pt;margin-left:210pt;margin-top:16.2pt;height:0pt;width:0pt;z-index:251665408;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 xml:space="preserve"> 0 </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 xml:space="preserve"> 2 </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val="en-US" w:eastAsia="zh-CN"/>
        </w:rPr>
        <w:t xml:space="preserve">   </w:t>
      </w:r>
      <w:r>
        <w:rPr>
          <w:rFonts w:hint="eastAsia"/>
          <w:b/>
          <w:color w:val="000000" w:themeColor="text1"/>
        </w:rPr>
        <w:t>部门条款，分布见附件。（Q/J/E/S分开填写）</w:t>
      </w:r>
    </w:p>
    <w:p>
      <w:pPr>
        <w:tabs>
          <w:tab w:val="left" w:pos="215"/>
          <w:tab w:val="left" w:pos="430"/>
        </w:tabs>
        <w:spacing w:line="360" w:lineRule="auto"/>
        <w:ind w:left="-190" w:leftChars="-472" w:hanging="801" w:hangingChars="380"/>
        <w:rPr>
          <w:b/>
        </w:rPr>
      </w:pPr>
      <w:r>
        <w:rPr>
          <w:b/>
          <w:bCs/>
          <w:szCs w:val="28"/>
        </w:rPr>
        <w:t xml:space="preserve">2. </w:t>
      </w:r>
      <w:r>
        <w:rPr>
          <w:rFonts w:hint="eastAsia"/>
          <w:b/>
          <w:bCs/>
          <w:szCs w:val="28"/>
        </w:rPr>
        <w:t>本次审核发现不符合及存在问题对管理体系实现目标的影响</w:t>
      </w:r>
      <w:r>
        <w:rPr>
          <w:rFonts w:hint="eastAsia"/>
          <w:b/>
          <w:spacing w:val="-10"/>
          <w:szCs w:val="21"/>
        </w:rPr>
        <w:t>□</w:t>
      </w:r>
      <w:r>
        <w:rPr>
          <w:rFonts w:hint="eastAsia"/>
          <w:b/>
        </w:rPr>
        <w:t>较大</w:t>
      </w:r>
      <w:r>
        <w:rPr>
          <w:rFonts w:hint="eastAsia" w:ascii="宋体" w:hAnsi="宋体"/>
          <w:b/>
          <w:spacing w:val="-10"/>
          <w:szCs w:val="21"/>
        </w:rPr>
        <w:t>■</w:t>
      </w:r>
      <w:r>
        <w:rPr>
          <w:rFonts w:hint="eastAsia"/>
          <w:b/>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b/>
          <w:color w:val="000000" w:themeColor="text1"/>
          <w:spacing w:val="-10"/>
          <w:szCs w:val="21"/>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r>
        <w:rPr>
          <w:rFonts w:hint="eastAsia" w:ascii="宋体" w:hAnsi="宋体"/>
          <w:b/>
          <w:color w:val="000000" w:themeColor="text1"/>
          <w:szCs w:val="21"/>
        </w:rPr>
        <w:t>：</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Borders>
              <w:top w:val="single" w:color="auto" w:sz="4" w:space="0"/>
              <w:left w:val="single" w:color="auto" w:sz="4" w:space="0"/>
              <w:bottom w:val="single" w:color="auto" w:sz="4" w:space="0"/>
              <w:right w:val="single" w:color="auto" w:sz="4" w:space="0"/>
            </w:tcBorders>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4" w:hRule="atLeast"/>
        </w:trPr>
        <w:tc>
          <w:tcPr>
            <w:tcW w:w="10080" w:type="dxa"/>
            <w:tcBorders>
              <w:top w:val="single" w:color="auto" w:sz="4" w:space="0"/>
              <w:left w:val="single" w:color="auto" w:sz="4" w:space="0"/>
              <w:bottom w:val="single" w:color="auto" w:sz="4" w:space="0"/>
              <w:right w:val="single" w:color="auto" w:sz="4" w:space="0"/>
            </w:tcBorders>
          </w:tcPr>
          <w:p>
            <w:pPr>
              <w:spacing w:line="280" w:lineRule="exact"/>
              <w:rPr>
                <w:b/>
                <w:color w:val="000000" w:themeColor="text1"/>
                <w:spacing w:val="-10"/>
                <w:sz w:val="22"/>
                <w:szCs w:val="22"/>
              </w:rPr>
            </w:pPr>
            <w:r>
              <w:rPr>
                <w:b/>
                <w:color w:val="000000" w:themeColor="text1"/>
                <w:spacing w:val="-10"/>
                <w:sz w:val="22"/>
                <w:szCs w:val="22"/>
              </w:rPr>
              <w:t xml:space="preserve">1. </w:t>
            </w:r>
            <w:r>
              <w:rPr>
                <w:rFonts w:hint="eastAsia"/>
                <w:b/>
                <w:color w:val="000000" w:themeColor="text1"/>
                <w:spacing w:val="-10"/>
                <w:sz w:val="22"/>
                <w:szCs w:val="22"/>
              </w:rPr>
              <w:t>■</w:t>
            </w:r>
            <w:r>
              <w:rPr>
                <w:b/>
                <w:color w:val="000000" w:themeColor="text1"/>
                <w:spacing w:val="-10"/>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50430   </w:t>
            </w:r>
            <w:r>
              <w:rPr>
                <w:rFonts w:hint="eastAsia"/>
                <w:b/>
                <w:color w:val="000000" w:themeColor="text1"/>
                <w:spacing w:val="-10"/>
                <w:szCs w:val="21"/>
              </w:rPr>
              <w:t>□</w:t>
            </w:r>
            <w:r>
              <w:rPr>
                <w:b/>
                <w:color w:val="000000" w:themeColor="text1"/>
                <w:spacing w:val="-10"/>
                <w:sz w:val="22"/>
                <w:szCs w:val="22"/>
              </w:rPr>
              <w:t xml:space="preserve">EMS </w:t>
            </w:r>
            <w:r>
              <w:rPr>
                <w:rFonts w:hint="eastAsia"/>
                <w:b/>
                <w:color w:val="000000" w:themeColor="text1"/>
                <w:spacing w:val="-10"/>
                <w:szCs w:val="21"/>
              </w:rPr>
              <w:t>□</w:t>
            </w:r>
            <w:r>
              <w:rPr>
                <w:b/>
                <w:color w:val="000000" w:themeColor="text1"/>
                <w:spacing w:val="-10"/>
                <w:sz w:val="22"/>
                <w:szCs w:val="22"/>
              </w:rPr>
              <w:t>OHSMS</w:t>
            </w:r>
            <w:r>
              <w:rPr>
                <w:rFonts w:hint="eastAsia"/>
                <w:b/>
                <w:color w:val="000000" w:themeColor="text1"/>
                <w:spacing w:val="-10"/>
                <w:sz w:val="22"/>
                <w:szCs w:val="22"/>
              </w:rPr>
              <w:t>的适宜性、充分性、运行有效性，自我完善机制等。管理体系满足适用要求和实现预期结果的能力。</w:t>
            </w:r>
          </w:p>
          <w:p>
            <w:pPr>
              <w:spacing w:line="280" w:lineRule="exact"/>
              <w:rPr>
                <w:b/>
                <w:color w:val="000000" w:themeColor="text1"/>
                <w:spacing w:val="-10"/>
                <w:sz w:val="22"/>
                <w:szCs w:val="22"/>
              </w:rPr>
            </w:pPr>
            <w:r>
              <w:rPr>
                <w:rFonts w:hint="eastAsia"/>
                <w:b/>
                <w:color w:val="000000" w:themeColor="text1"/>
                <w:spacing w:val="-10"/>
                <w:sz w:val="22"/>
                <w:szCs w:val="22"/>
              </w:rPr>
              <w:t>（组织实施“过程控制”，满足标准要求和目标，向顾客提供稳定、合格产品，满足适用的质量</w:t>
            </w:r>
            <w:r>
              <w:rPr>
                <w:b/>
                <w:color w:val="000000" w:themeColor="text1"/>
                <w:spacing w:val="-10"/>
                <w:sz w:val="22"/>
                <w:szCs w:val="22"/>
              </w:rPr>
              <w:t>/</w:t>
            </w:r>
            <w:r>
              <w:rPr>
                <w:rFonts w:hint="eastAsia"/>
                <w:b/>
                <w:color w:val="000000" w:themeColor="text1"/>
                <w:spacing w:val="-10"/>
                <w:sz w:val="22"/>
                <w:szCs w:val="22"/>
              </w:rPr>
              <w:t>环境</w:t>
            </w:r>
            <w:r>
              <w:rPr>
                <w:b/>
                <w:color w:val="000000" w:themeColor="text1"/>
                <w:spacing w:val="-10"/>
                <w:sz w:val="22"/>
                <w:szCs w:val="22"/>
              </w:rPr>
              <w:t>/</w:t>
            </w:r>
            <w:r>
              <w:rPr>
                <w:rFonts w:hint="eastAsia"/>
                <w:b/>
                <w:color w:val="000000" w:themeColor="text1"/>
                <w:spacing w:val="-10"/>
                <w:sz w:val="22"/>
                <w:szCs w:val="22"/>
              </w:rPr>
              <w:t>职业健康安全法规要求，防止污染、重大事故和持续改进的情况以及对周边环境产生的影响，措施的有效性）</w:t>
            </w:r>
          </w:p>
          <w:p>
            <w:pPr>
              <w:spacing w:line="280" w:lineRule="exact"/>
              <w:rPr>
                <w:b/>
                <w:color w:val="000000" w:themeColor="text1"/>
                <w:spacing w:val="-10"/>
                <w:sz w:val="22"/>
                <w:szCs w:val="22"/>
              </w:rPr>
            </w:pPr>
          </w:p>
          <w:p>
            <w:pPr>
              <w:spacing w:line="280" w:lineRule="exact"/>
              <w:rPr>
                <w:b/>
                <w:color w:val="000000" w:themeColor="text1"/>
                <w:spacing w:val="-10"/>
                <w:sz w:val="22"/>
                <w:szCs w:val="22"/>
              </w:rPr>
            </w:pPr>
            <w:r>
              <w:rPr>
                <w:rFonts w:hint="eastAsia"/>
                <w:b/>
                <w:color w:val="000000" w:themeColor="text1"/>
                <w:spacing w:val="-10"/>
                <w:sz w:val="22"/>
                <w:szCs w:val="22"/>
              </w:rPr>
              <w:sym w:font="Wingdings 2" w:char="0052"/>
            </w:r>
            <w:r>
              <w:rPr>
                <w:b/>
                <w:color w:val="000000" w:themeColor="text1"/>
                <w:spacing w:val="-10"/>
                <w:sz w:val="22"/>
                <w:szCs w:val="22"/>
              </w:rPr>
              <w:t xml:space="preserve">QMS  </w:t>
            </w:r>
            <w:r>
              <w:rPr>
                <w:rFonts w:hint="eastAsia"/>
                <w:b/>
                <w:color w:val="000000" w:themeColor="text1"/>
                <w:spacing w:val="-10"/>
                <w:sz w:val="22"/>
                <w:szCs w:val="22"/>
              </w:rPr>
              <w:sym w:font="Wingdings 2" w:char="0052"/>
            </w:r>
            <w:r>
              <w:rPr>
                <w:b/>
                <w:color w:val="000000" w:themeColor="text1"/>
                <w:spacing w:val="-10"/>
                <w:sz w:val="22"/>
                <w:szCs w:val="22"/>
              </w:rPr>
              <w:t xml:space="preserve">50430 </w:t>
            </w:r>
            <w:r>
              <w:rPr>
                <w:rFonts w:hint="eastAsia"/>
                <w:b/>
                <w:color w:val="000000" w:themeColor="text1"/>
                <w:spacing w:val="-10"/>
                <w:sz w:val="22"/>
                <w:szCs w:val="22"/>
              </w:rPr>
              <w:t>□</w:t>
            </w:r>
            <w:r>
              <w:rPr>
                <w:b/>
                <w:color w:val="000000" w:themeColor="text1"/>
                <w:spacing w:val="-10"/>
                <w:sz w:val="22"/>
                <w:szCs w:val="22"/>
              </w:rPr>
              <w:t xml:space="preserve">EMS  </w:t>
            </w:r>
            <w:r>
              <w:rPr>
                <w:rFonts w:hint="eastAsia"/>
                <w:b/>
                <w:color w:val="000000" w:themeColor="text1"/>
                <w:spacing w:val="-10"/>
                <w:sz w:val="22"/>
                <w:szCs w:val="22"/>
              </w:rPr>
              <w:t>□</w:t>
            </w:r>
            <w:r>
              <w:rPr>
                <w:b/>
                <w:color w:val="000000" w:themeColor="text1"/>
                <w:spacing w:val="-10"/>
                <w:sz w:val="22"/>
                <w:szCs w:val="22"/>
              </w:rPr>
              <w:t>OHSMS</w:t>
            </w:r>
            <w:r>
              <w:rPr>
                <w:rFonts w:hint="eastAsia"/>
                <w:b/>
                <w:color w:val="000000" w:themeColor="text1"/>
                <w:spacing w:val="-10"/>
                <w:sz w:val="22"/>
                <w:szCs w:val="22"/>
              </w:rPr>
              <w:t>持续的符合性及运行的有效性，以及与认证范围的持续相关性和适宜性及自我完善机制等。</w:t>
            </w:r>
          </w:p>
          <w:p>
            <w:pPr>
              <w:spacing w:line="280" w:lineRule="exact"/>
              <w:rPr>
                <w:b/>
                <w:color w:val="000000" w:themeColor="text1"/>
                <w:spacing w:val="-10"/>
                <w:sz w:val="22"/>
                <w:szCs w:val="22"/>
              </w:rPr>
            </w:pPr>
          </w:p>
          <w:p>
            <w:pPr>
              <w:spacing w:line="240" w:lineRule="exact"/>
              <w:rPr>
                <w:b/>
                <w:color w:val="000000" w:themeColor="text1"/>
                <w:sz w:val="28"/>
                <w:szCs w:val="28"/>
              </w:rPr>
            </w:pPr>
            <w:r>
              <w:rPr>
                <w:rFonts w:hint="eastAsia"/>
                <w:b/>
                <w:color w:val="000000" w:themeColor="text1"/>
                <w:spacing w:val="-10"/>
                <w:sz w:val="22"/>
                <w:szCs w:val="22"/>
              </w:rPr>
              <w:t>该公司建立并实施的质量、环境、职业健康安全管理体系基本符合标准要求，对可能存在的重要风险基本可以得到有效控制，施工质量稳定，没有出现过质量、环境和职业健康安全事故以及顾客投诉等事件，该公司初步建立了自我完善和自我改进机制，管理体系运行基本有效。现场开具的</w:t>
            </w:r>
            <w:r>
              <w:rPr>
                <w:b/>
                <w:color w:val="000000" w:themeColor="text1"/>
                <w:spacing w:val="-10"/>
                <w:sz w:val="22"/>
                <w:szCs w:val="22"/>
              </w:rPr>
              <w:t>2</w:t>
            </w:r>
            <w:r>
              <w:rPr>
                <w:rFonts w:hint="eastAsia"/>
                <w:b/>
                <w:color w:val="000000" w:themeColor="text1"/>
                <w:spacing w:val="-10"/>
                <w:sz w:val="22"/>
                <w:szCs w:val="22"/>
              </w:rPr>
              <w:t>项一般不符合在规定的期限内采取纠正措施并经审核组书面验证有效，同意推荐该公司质量、环境、管理体系认证注册。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10080" w:type="dxa"/>
            <w:tcBorders>
              <w:top w:val="single" w:color="auto" w:sz="4" w:space="0"/>
              <w:left w:val="single" w:color="auto" w:sz="4" w:space="0"/>
              <w:bottom w:val="single" w:color="auto" w:sz="4" w:space="0"/>
              <w:right w:val="single" w:color="auto" w:sz="4" w:space="0"/>
            </w:tcBorders>
          </w:tcPr>
          <w:p>
            <w:pPr>
              <w:rPr>
                <w:b/>
                <w:color w:val="000000" w:themeColor="text1"/>
              </w:rPr>
            </w:pPr>
            <w:r>
              <w:rPr>
                <w:b/>
                <w:color w:val="000000" w:themeColor="text1"/>
              </w:rPr>
              <w:t>2.</w:t>
            </w:r>
            <w:r>
              <w:rPr>
                <w:rFonts w:hint="eastAsia"/>
                <w:b/>
                <w:color w:val="000000" w:themeColor="text1"/>
              </w:rPr>
              <w:t>对审核范围适宜性结论</w:t>
            </w:r>
          </w:p>
          <w:p>
            <w:pPr>
              <w:rPr>
                <w:b/>
                <w:color w:val="000000" w:themeColor="text1"/>
              </w:rPr>
            </w:pPr>
            <w:r>
              <w:rPr>
                <w:rFonts w:hint="eastAsia" w:ascii="宋体" w:hAnsi="宋体"/>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hint="eastAsia" w:ascii="宋体" w:hAnsi="宋体"/>
                <w:b/>
                <w:color w:val="000000" w:themeColor="text1"/>
              </w:rPr>
              <w:t xml:space="preserve">QMS:资质范围内的建筑工程总承包、电力工程施工总承包、钢结构工程专业承包、建筑机电安装工程专业承包 </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10080" w:type="dxa"/>
            <w:tcBorders>
              <w:top w:val="single" w:color="auto" w:sz="4" w:space="0"/>
              <w:left w:val="single" w:color="auto" w:sz="4" w:space="0"/>
              <w:bottom w:val="single" w:color="auto" w:sz="4" w:space="0"/>
              <w:right w:val="single" w:color="auto" w:sz="4" w:space="0"/>
            </w:tcBorders>
          </w:tcPr>
          <w:p>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pPr>
              <w:rPr>
                <w:b/>
                <w:color w:val="000000" w:themeColor="text1"/>
                <w:spacing w:val="-10"/>
                <w:sz w:val="22"/>
                <w:szCs w:val="22"/>
              </w:rPr>
            </w:pPr>
            <w:r>
              <w:rPr>
                <w:rFonts w:hint="eastAsia" w:ascii="宋体" w:hAnsi="宋体"/>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hint="eastAsia" w:ascii="宋体" w:hAnsi="宋体"/>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  )</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0080" w:type="dxa"/>
            <w:tcBorders>
              <w:top w:val="single" w:color="auto" w:sz="4" w:space="0"/>
              <w:left w:val="nil"/>
              <w:bottom w:val="nil"/>
              <w:right w:val="nil"/>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w:t>
      </w:r>
      <w:r>
        <w:rPr>
          <w:b/>
          <w:color w:val="000000" w:themeColor="text1"/>
        </w:rPr>
        <w:t>/</w:t>
      </w:r>
      <w:r>
        <w:rPr>
          <w:rFonts w:hint="eastAsia"/>
          <w:b/>
          <w:color w:val="000000" w:themeColor="text1"/>
        </w:rPr>
        <w:t>严重不符合在</w:t>
      </w:r>
      <w:r>
        <w:rPr>
          <w:rFonts w:hint="eastAsia"/>
          <w:b/>
          <w:color w:val="000000" w:themeColor="text1"/>
          <w:lang w:val="en-US" w:eastAsia="zh-CN"/>
        </w:rPr>
        <w:t>60</w:t>
      </w:r>
      <w:r>
        <w:rPr>
          <w:rFonts w:hint="eastAsia"/>
          <w:b/>
          <w:color w:val="000000" w:themeColor="text1"/>
        </w:rPr>
        <w:t>天针对不符合原因制定并实施纠正措施。验证方式见不符合项报告。</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：无</w:t>
      </w:r>
    </w:p>
    <w:p>
      <w:pPr>
        <w:snapToGrid w:val="0"/>
        <w:rPr>
          <w:b/>
          <w:bCs/>
          <w:color w:val="000000" w:themeColor="text1"/>
          <w:szCs w:val="28"/>
          <w:u w:val="single"/>
        </w:rPr>
      </w:pPr>
    </w:p>
    <w:p>
      <w:pPr>
        <w:snapToGrid w:val="0"/>
        <w:spacing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Lines="50" w:line="360" w:lineRule="auto"/>
        <w:ind w:firstLine="527" w:firstLineChars="250"/>
        <w:rPr>
          <w:b/>
          <w:color w:val="000000" w:themeColor="text1"/>
        </w:rPr>
      </w:pP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pStyle w:val="10"/>
        <w:snapToGrid w:val="0"/>
        <w:spacing w:line="360" w:lineRule="auto"/>
        <w:ind w:left="3515" w:firstLine="0" w:firstLineChars="0"/>
        <w:rPr>
          <w:b/>
          <w:color w:val="000000" w:themeColor="text1"/>
          <w:sz w:val="16"/>
          <w:szCs w:val="16"/>
        </w:rPr>
      </w:pPr>
      <w:r>
        <w:rPr>
          <w:rFonts w:hint="eastAsia" w:ascii="宋体" w:hAnsi="宋体"/>
          <w:b/>
          <w:bCs/>
          <w:color w:val="000000" w:themeColor="text1"/>
          <w:szCs w:val="16"/>
          <w:highlight w:val="none"/>
        </w:rPr>
        <w:t>日期</w:t>
      </w:r>
      <w:r>
        <w:rPr>
          <w:rFonts w:hint="eastAsia" w:asciiTheme="minorEastAsia" w:hAnsiTheme="minorEastAsia" w:eastAsiaTheme="minorEastAsia"/>
          <w:b/>
          <w:color w:val="000000" w:themeColor="text1"/>
          <w:highlight w:val="none"/>
        </w:rPr>
        <w:t xml:space="preserve"> </w:t>
      </w:r>
      <w:r>
        <w:rPr>
          <w:rFonts w:hint="eastAsia" w:asciiTheme="minorEastAsia" w:hAnsiTheme="minorEastAsia" w:eastAsiaTheme="minorEastAsia"/>
          <w:b/>
          <w:color w:val="000000" w:themeColor="text1"/>
        </w:rPr>
        <w:t xml:space="preserve"> 2020年</w:t>
      </w:r>
      <w:r>
        <w:rPr>
          <w:rFonts w:hint="eastAsia" w:asciiTheme="minorEastAsia" w:hAnsiTheme="minorEastAsia" w:eastAsiaTheme="minorEastAsia"/>
          <w:b/>
          <w:color w:val="000000" w:themeColor="text1"/>
          <w:lang w:val="en-US" w:eastAsia="zh-CN"/>
        </w:rPr>
        <w:t>11</w:t>
      </w:r>
      <w:r>
        <w:rPr>
          <w:rFonts w:hint="eastAsia" w:asciiTheme="minorEastAsia" w:hAnsiTheme="minorEastAsia" w:eastAsiaTheme="minorEastAsia"/>
          <w:b/>
          <w:color w:val="000000" w:themeColor="text1"/>
        </w:rPr>
        <w:t xml:space="preserve"> 月</w:t>
      </w:r>
      <w:r>
        <w:rPr>
          <w:rFonts w:asciiTheme="minorEastAsia" w:hAnsiTheme="minorEastAsia" w:eastAsiaTheme="minorEastAsia"/>
          <w:b/>
          <w:color w:val="000000" w:themeColor="text1"/>
        </w:rPr>
        <w:t>2</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rFonts w:hint="eastAsia"/>
          <w:b/>
          <w:color w:val="000000" w:themeColor="text1"/>
          <w:szCs w:val="21"/>
        </w:rPr>
      </w:pPr>
      <w:r>
        <w:rPr>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napToGrid w:val="0"/>
        <w:spacing w:before="156" w:beforeLines="50" w:after="156" w:afterLines="50" w:line="360" w:lineRule="auto"/>
        <w:ind w:left="0" w:leftChars="-202" w:hanging="424" w:hangingChars="201"/>
        <w:rPr>
          <w:rFonts w:hint="eastAsia"/>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b/>
          <w:color w:val="000000" w:themeColor="text1"/>
          <w:szCs w:val="21"/>
        </w:rPr>
        <w:t>50430</w:t>
      </w:r>
      <w:r>
        <w:rPr>
          <w:rFonts w:hint="eastAsia"/>
          <w:b/>
          <w:color w:val="000000" w:themeColor="text1"/>
          <w:szCs w:val="21"/>
        </w:rPr>
        <w:t xml:space="preserve">(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leftChars="-202" w:hanging="424" w:hangingChars="201"/>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20</w:t>
      </w:r>
      <w:r>
        <w:rPr>
          <w:rFonts w:hint="eastAsia"/>
          <w:b/>
          <w:color w:val="000000" w:themeColor="text1"/>
          <w:szCs w:val="21"/>
        </w:rPr>
        <w:t>20年</w:t>
      </w:r>
      <w:r>
        <w:rPr>
          <w:rFonts w:hint="eastAsia"/>
          <w:b/>
          <w:color w:val="000000" w:themeColor="text1"/>
          <w:szCs w:val="21"/>
          <w:lang w:val="en-US" w:eastAsia="zh-CN"/>
        </w:rPr>
        <w:t xml:space="preserve">11 </w:t>
      </w:r>
      <w:r>
        <w:rPr>
          <w:rFonts w:hint="eastAsia"/>
          <w:b/>
          <w:color w:val="000000" w:themeColor="text1"/>
          <w:szCs w:val="21"/>
        </w:rPr>
        <w:t>月</w:t>
      </w:r>
      <w:r>
        <w:rPr>
          <w:rFonts w:hint="eastAsia"/>
          <w:b/>
          <w:color w:val="000000" w:themeColor="text1"/>
          <w:szCs w:val="21"/>
          <w:lang w:val="en-US" w:eastAsia="zh-CN"/>
        </w:rPr>
        <w:t xml:space="preserve"> 6 </w:t>
      </w:r>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     年    月       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pPr>
        <w:snapToGrid w:val="0"/>
        <w:spacing w:line="360" w:lineRule="auto"/>
        <w:ind w:left="738" w:hanging="738" w:hangingChars="350"/>
        <w:rPr>
          <w:b/>
          <w:color w:val="000000" w:themeColor="text1"/>
          <w:szCs w:val="21"/>
          <w:u w:val="single"/>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 xml:space="preserve">                           1</w:t>
      </w:r>
      <w:r>
        <w:rPr>
          <w:rFonts w:hint="eastAsia"/>
          <w:b/>
          <w:color w:val="000000" w:themeColor="text1"/>
        </w:rPr>
        <w:t>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int="eastAsia"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int="eastAsia" w:hAnsi="宋体"/>
          <w:b/>
          <w:bCs/>
          <w:color w:val="000000" w:themeColor="text1"/>
          <w:szCs w:val="28"/>
        </w:rPr>
        <w:t>不符合报告</w:t>
      </w:r>
      <w:r>
        <w:rPr>
          <w:b/>
          <w:bCs/>
          <w:color w:val="000000" w:themeColor="text1"/>
          <w:szCs w:val="28"/>
        </w:rPr>
        <w:t>/</w:t>
      </w:r>
      <w:r>
        <w:rPr>
          <w:rFonts w:hint="eastAsia"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pPr>
        <w:spacing w:line="360" w:lineRule="auto"/>
        <w:ind w:left="-850" w:leftChars="-405"/>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应依据审核任务书安排的管理体系领域（指：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pPr>
        <w:spacing w:line="360" w:lineRule="auto"/>
        <w:ind w:left="-163" w:leftChars="-405" w:hanging="687" w:hangingChars="326"/>
        <w:rPr>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18"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18"/>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8A6873"/>
    <w:rsid w:val="206D13FC"/>
    <w:rsid w:val="273B0A92"/>
    <w:rsid w:val="27D2073B"/>
    <w:rsid w:val="47B55CB4"/>
    <w:rsid w:val="59EF13F3"/>
    <w:rsid w:val="60D319F1"/>
    <w:rsid w:val="65315120"/>
    <w:rsid w:val="6A465B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AutoShape 8"/>
        <o:r id="V:Rule2" type="connector" idref="#AutoShape 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李凤仪</cp:lastModifiedBy>
  <cp:lastPrinted>2019-05-13T03:19:00Z</cp:lastPrinted>
  <dcterms:modified xsi:type="dcterms:W3CDTF">2020-11-04T08:18:05Z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