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hint="default" w:ascii="隶书" w:hAnsi="宋体" w:eastAsia="隶书"/>
          <w:bCs/>
          <w:sz w:val="36"/>
          <w:szCs w:val="36"/>
          <w:lang w:val="en-US" w:eastAsia="zh-CN"/>
        </w:rPr>
      </w:pPr>
      <w:r>
        <w:rPr>
          <w:rFonts w:hint="eastAsia" w:ascii="隶书" w:hAnsi="宋体" w:eastAsia="隶书"/>
          <w:bCs/>
          <w:sz w:val="36"/>
          <w:szCs w:val="36"/>
        </w:rPr>
        <w:t>管理体系审核记录表</w:t>
      </w: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6"/>
        <w:gridCol w:w="1269"/>
        <w:gridCol w:w="10947"/>
        <w:gridCol w:w="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656" w:type="dxa"/>
            <w:vMerge w:val="restart"/>
            <w:vAlign w:val="center"/>
          </w:tcPr>
          <w:p>
            <w:pPr>
              <w:spacing w:before="1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过程与活动、</w:t>
            </w:r>
          </w:p>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抽样计划</w:t>
            </w:r>
          </w:p>
        </w:tc>
        <w:tc>
          <w:tcPr>
            <w:tcW w:w="1269" w:type="dxa"/>
            <w:vMerge w:val="restart"/>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涉及</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条款</w:t>
            </w:r>
          </w:p>
        </w:tc>
        <w:tc>
          <w:tcPr>
            <w:tcW w:w="10947" w:type="dxa"/>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受审核部门：</w:t>
            </w:r>
            <w:r>
              <w:rPr>
                <w:rFonts w:hint="eastAsia" w:ascii="宋体" w:hAnsi="宋体" w:eastAsiaTheme="minorEastAsia"/>
                <w:sz w:val="18"/>
                <w:szCs w:val="22"/>
                <w:lang w:eastAsia="zh-CN"/>
              </w:rPr>
              <w:t>业务部</w:t>
            </w:r>
            <w:r>
              <w:rPr>
                <w:rFonts w:hint="eastAsia" w:asciiTheme="minorEastAsia" w:hAnsiTheme="minorEastAsia" w:eastAsiaTheme="minorEastAsia" w:cstheme="minorEastAsia"/>
                <w:szCs w:val="21"/>
              </w:rPr>
              <w:t xml:space="preserve">     主管领导：</w:t>
            </w:r>
            <w:r>
              <w:rPr>
                <w:rFonts w:hint="default"/>
                <w:lang w:val="en-US" w:eastAsia="zh-CN"/>
              </w:rPr>
              <w:t>胡洪涛</w:t>
            </w:r>
            <w:r>
              <w:rPr>
                <w:rFonts w:hint="default"/>
                <w:lang w:val="en-US" w:eastAsia="zh-CN"/>
              </w:rPr>
              <w:tab/>
            </w:r>
            <w:r>
              <w:rPr>
                <w:rFonts w:hint="eastAsia" w:asciiTheme="minorEastAsia" w:hAnsiTheme="minorEastAsia" w:eastAsiaTheme="minorEastAsia" w:cstheme="minorEastAsia"/>
                <w:szCs w:val="21"/>
              </w:rPr>
              <w:t xml:space="preserve">   陪同人员：</w:t>
            </w:r>
            <w:r>
              <w:rPr>
                <w:rFonts w:hint="default"/>
                <w:lang w:val="en-US" w:eastAsia="zh-CN"/>
              </w:rPr>
              <w:t>钱科</w:t>
            </w:r>
          </w:p>
        </w:tc>
        <w:tc>
          <w:tcPr>
            <w:tcW w:w="837" w:type="dxa"/>
            <w:vMerge w:val="restart"/>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656" w:type="dxa"/>
            <w:vMerge w:val="continue"/>
            <w:vAlign w:val="center"/>
          </w:tcPr>
          <w:p>
            <w:pPr>
              <w:rPr>
                <w:rFonts w:asciiTheme="minorEastAsia" w:hAnsiTheme="minorEastAsia" w:eastAsiaTheme="minorEastAsia" w:cstheme="minorEastAsia"/>
                <w:szCs w:val="21"/>
              </w:rPr>
            </w:pPr>
          </w:p>
        </w:tc>
        <w:tc>
          <w:tcPr>
            <w:tcW w:w="1269" w:type="dxa"/>
            <w:vMerge w:val="continue"/>
            <w:vAlign w:val="center"/>
          </w:tcPr>
          <w:p>
            <w:pPr>
              <w:rPr>
                <w:rFonts w:asciiTheme="minorEastAsia" w:hAnsiTheme="minorEastAsia" w:eastAsiaTheme="minorEastAsia" w:cstheme="minorEastAsia"/>
                <w:szCs w:val="21"/>
              </w:rPr>
            </w:pPr>
          </w:p>
        </w:tc>
        <w:tc>
          <w:tcPr>
            <w:tcW w:w="10947" w:type="dxa"/>
            <w:vAlign w:val="center"/>
          </w:tcPr>
          <w:p>
            <w:pPr>
              <w:spacing w:before="12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审核员：</w:t>
            </w:r>
            <w:r>
              <w:rPr>
                <w:rFonts w:hint="eastAsia"/>
                <w:sz w:val="18"/>
                <w:szCs w:val="18"/>
              </w:rPr>
              <w:t>李京田</w:t>
            </w:r>
            <w:r>
              <w:rPr>
                <w:rFonts w:hint="eastAsia" w:asciiTheme="minorEastAsia" w:hAnsiTheme="minorEastAsia" w:eastAsiaTheme="minorEastAsia" w:cstheme="minorEastAsia"/>
                <w:szCs w:val="21"/>
              </w:rPr>
              <w:t xml:space="preserve">         审核时间：</w:t>
            </w:r>
            <w:r>
              <w:rPr>
                <w:rFonts w:hint="eastAsia" w:asciiTheme="minorEastAsia" w:hAnsiTheme="minorEastAsia" w:eastAsiaTheme="minorEastAsia" w:cstheme="minorEastAsia"/>
                <w:szCs w:val="21"/>
                <w:lang w:val="en-US" w:eastAsia="zh-CN"/>
              </w:rPr>
              <w:t>2020</w:t>
            </w:r>
            <w:r>
              <w:rPr>
                <w:rFonts w:hint="eastAsia" w:asciiTheme="minorEastAsia" w:hAnsiTheme="minorEastAsia" w:eastAsiaTheme="minorEastAsia" w:cstheme="minorEastAsia"/>
                <w:szCs w:val="21"/>
              </w:rPr>
              <w:t>年</w:t>
            </w:r>
            <w:r>
              <w:rPr>
                <w:rFonts w:hint="eastAsia" w:asciiTheme="minorEastAsia" w:hAnsiTheme="minorEastAsia" w:eastAsiaTheme="minorEastAsia" w:cstheme="minorEastAsia"/>
                <w:szCs w:val="21"/>
                <w:lang w:val="en-US" w:eastAsia="zh-CN"/>
              </w:rPr>
              <w:t>11</w:t>
            </w:r>
            <w:r>
              <w:rPr>
                <w:rFonts w:hint="eastAsia" w:asciiTheme="minorEastAsia" w:hAnsiTheme="minorEastAsia" w:eastAsiaTheme="minorEastAsia" w:cstheme="minorEastAsia"/>
                <w:szCs w:val="21"/>
              </w:rPr>
              <w:t>月</w:t>
            </w:r>
            <w:r>
              <w:rPr>
                <w:rFonts w:hint="eastAsia" w:asciiTheme="minorEastAsia" w:hAnsiTheme="minorEastAsia" w:eastAsiaTheme="minorEastAsia" w:cstheme="minorEastAsia"/>
                <w:szCs w:val="21"/>
                <w:lang w:val="en-US" w:eastAsia="zh-CN"/>
              </w:rPr>
              <w:t>1</w:t>
            </w:r>
            <w:r>
              <w:rPr>
                <w:rFonts w:hint="eastAsia" w:asciiTheme="minorEastAsia" w:hAnsiTheme="minorEastAsia" w:eastAsiaTheme="minorEastAsia" w:cstheme="minorEastAsia"/>
                <w:szCs w:val="21"/>
              </w:rPr>
              <w:t>日</w:t>
            </w:r>
          </w:p>
        </w:tc>
        <w:tc>
          <w:tcPr>
            <w:tcW w:w="837" w:type="dxa"/>
            <w:vMerge w:val="continue"/>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656" w:type="dxa"/>
            <w:vMerge w:val="continue"/>
            <w:vAlign w:val="center"/>
          </w:tcPr>
          <w:p>
            <w:pPr>
              <w:rPr>
                <w:rFonts w:asciiTheme="minorEastAsia" w:hAnsiTheme="minorEastAsia" w:eastAsiaTheme="minorEastAsia" w:cstheme="minorEastAsia"/>
                <w:szCs w:val="21"/>
              </w:rPr>
            </w:pPr>
          </w:p>
        </w:tc>
        <w:tc>
          <w:tcPr>
            <w:tcW w:w="1269" w:type="dxa"/>
            <w:vMerge w:val="continue"/>
            <w:vAlign w:val="center"/>
          </w:tcPr>
          <w:p>
            <w:pPr>
              <w:rPr>
                <w:rFonts w:asciiTheme="minorEastAsia" w:hAnsiTheme="minorEastAsia" w:eastAsiaTheme="minorEastAsia" w:cstheme="minorEastAsia"/>
                <w:szCs w:val="21"/>
              </w:rPr>
            </w:pPr>
          </w:p>
        </w:tc>
        <w:tc>
          <w:tcPr>
            <w:tcW w:w="10947" w:type="dxa"/>
            <w:vAlign w:val="center"/>
          </w:tcPr>
          <w:p>
            <w:pPr>
              <w:snapToGrid w:val="0"/>
              <w:spacing w:line="260" w:lineRule="exact"/>
              <w:rPr>
                <w:rFonts w:hint="eastAsia"/>
              </w:rPr>
            </w:pPr>
            <w:r>
              <w:rPr>
                <w:rFonts w:hint="eastAsia"/>
              </w:rPr>
              <w:t xml:space="preserve">审核条款 </w:t>
            </w:r>
          </w:p>
          <w:p>
            <w:pPr>
              <w:spacing w:line="360" w:lineRule="auto"/>
              <w:rPr>
                <w:rFonts w:hint="eastAsia"/>
                <w:color w:val="000000" w:themeColor="text1"/>
                <w:sz w:val="21"/>
                <w:szCs w:val="21"/>
                <w:lang w:val="en-US" w:eastAsia="zh-CN"/>
              </w:rPr>
            </w:pPr>
            <w:r>
              <w:rPr>
                <w:rFonts w:hint="eastAsia"/>
                <w:color w:val="000000" w:themeColor="text1"/>
                <w:sz w:val="21"/>
                <w:szCs w:val="21"/>
                <w:lang w:val="en-US" w:eastAsia="zh-CN"/>
              </w:rPr>
              <w:t>采购过程的控制、合格供方、采购合同、供方评审，环境、危险源的辨识、环境职业健康安全运行情况</w:t>
            </w:r>
          </w:p>
          <w:p>
            <w:pPr>
              <w:spacing w:line="360" w:lineRule="auto"/>
              <w:rPr>
                <w:rFonts w:hint="eastAsia"/>
                <w:color w:val="000000" w:themeColor="text1"/>
                <w:sz w:val="21"/>
                <w:szCs w:val="21"/>
              </w:rPr>
            </w:pPr>
            <w:r>
              <w:rPr>
                <w:rFonts w:hint="eastAsia"/>
                <w:color w:val="000000" w:themeColor="text1"/>
                <w:sz w:val="21"/>
                <w:szCs w:val="21"/>
              </w:rPr>
              <w:t>涉及条款</w:t>
            </w:r>
            <w:r>
              <w:rPr>
                <w:rFonts w:hint="eastAsia"/>
                <w:color w:val="000000" w:themeColor="text1"/>
                <w:sz w:val="21"/>
                <w:szCs w:val="21"/>
                <w:lang w:val="en-US" w:eastAsia="zh-CN"/>
              </w:rPr>
              <w:t>QS</w:t>
            </w:r>
            <w:r>
              <w:rPr>
                <w:rFonts w:hint="eastAsia"/>
                <w:color w:val="000000" w:themeColor="text1"/>
                <w:sz w:val="21"/>
                <w:szCs w:val="21"/>
              </w:rPr>
              <w:t>:5.3/6.1/6.2/8.1/8.2</w:t>
            </w:r>
          </w:p>
          <w:p>
            <w:pPr>
              <w:snapToGrid w:val="0"/>
              <w:spacing w:line="260" w:lineRule="exact"/>
              <w:rPr>
                <w:rFonts w:ascii="宋体" w:hAnsi="宋体" w:cs="宋体"/>
                <w:b/>
                <w:bCs/>
                <w:szCs w:val="21"/>
              </w:rPr>
            </w:pPr>
            <w:r>
              <w:rPr>
                <w:rFonts w:hint="eastAsia"/>
                <w:color w:val="000000" w:themeColor="text1"/>
                <w:sz w:val="21"/>
                <w:szCs w:val="21"/>
                <w:lang w:val="en-US" w:eastAsia="zh-CN"/>
              </w:rPr>
              <w:t>Q:8.4</w:t>
            </w:r>
          </w:p>
        </w:tc>
        <w:tc>
          <w:tcPr>
            <w:tcW w:w="837" w:type="dxa"/>
            <w:vMerge w:val="continue"/>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56" w:type="dxa"/>
          </w:tcPr>
          <w:p>
            <w:pPr>
              <w:spacing w:line="280" w:lineRule="exac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组织的岗位职责和权限</w:t>
            </w:r>
          </w:p>
          <w:p>
            <w:pPr>
              <w:spacing w:line="280" w:lineRule="exact"/>
              <w:rPr>
                <w:rFonts w:asciiTheme="minorEastAsia" w:hAnsiTheme="minorEastAsia" w:eastAsiaTheme="minorEastAsia" w:cstheme="minorEastAsia"/>
                <w:szCs w:val="21"/>
              </w:rPr>
            </w:pPr>
          </w:p>
        </w:tc>
        <w:tc>
          <w:tcPr>
            <w:tcW w:w="1269" w:type="dxa"/>
          </w:tcPr>
          <w:p>
            <w:pPr>
              <w:spacing w:line="280" w:lineRule="exac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QE</w:t>
            </w:r>
            <w:r>
              <w:rPr>
                <w:rFonts w:hint="eastAsia" w:asciiTheme="minorEastAsia" w:hAnsiTheme="minorEastAsia" w:eastAsiaTheme="minorEastAsia" w:cstheme="minorEastAsia"/>
                <w:kern w:val="0"/>
                <w:szCs w:val="21"/>
                <w:lang w:val="en-US" w:eastAsia="zh-CN"/>
              </w:rPr>
              <w:t>S</w:t>
            </w:r>
            <w:r>
              <w:rPr>
                <w:rFonts w:hint="eastAsia" w:asciiTheme="minorEastAsia" w:hAnsiTheme="minorEastAsia" w:eastAsiaTheme="minorEastAsia" w:cstheme="minorEastAsia"/>
                <w:kern w:val="0"/>
                <w:szCs w:val="21"/>
              </w:rPr>
              <w:t>5.3</w:t>
            </w:r>
          </w:p>
          <w:p>
            <w:pPr>
              <w:spacing w:line="280" w:lineRule="exact"/>
              <w:rPr>
                <w:rFonts w:asciiTheme="minorEastAsia" w:hAnsiTheme="minorEastAsia" w:eastAsiaTheme="minorEastAsia" w:cstheme="minorEastAsia"/>
                <w:szCs w:val="21"/>
              </w:rPr>
            </w:pPr>
          </w:p>
        </w:tc>
        <w:tc>
          <w:tcPr>
            <w:tcW w:w="10947" w:type="dxa"/>
          </w:tcPr>
          <w:p>
            <w:pPr>
              <w:spacing w:line="280" w:lineRule="exact"/>
              <w:ind w:firstLine="420"/>
              <w:rPr>
                <w:rFonts w:hint="default"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与部门负责人</w:t>
            </w:r>
            <w:r>
              <w:rPr>
                <w:rFonts w:hint="eastAsia"/>
              </w:rPr>
              <w:t>谈阳</w:t>
            </w:r>
            <w:r>
              <w:rPr>
                <w:rFonts w:hint="eastAsia"/>
                <w:lang w:val="en-US" w:eastAsia="zh-CN"/>
              </w:rPr>
              <w:t>交流其负责职责主要有：</w:t>
            </w:r>
            <w:r>
              <w:rPr>
                <w:rFonts w:hint="eastAsia" w:asciiTheme="minorEastAsia" w:hAnsiTheme="minorEastAsia" w:eastAsiaTheme="minorEastAsia" w:cstheme="minorEastAsia"/>
                <w:szCs w:val="21"/>
              </w:rPr>
              <w:t xml:space="preserve">  </w:t>
            </w:r>
          </w:p>
          <w:p>
            <w:pPr>
              <w:spacing w:line="280" w:lineRule="exact"/>
              <w:ind w:firstLine="420"/>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1）</w:t>
            </w:r>
            <w:r>
              <w:rPr>
                <w:rFonts w:hint="eastAsia" w:asciiTheme="minorEastAsia" w:hAnsiTheme="minorEastAsia" w:eastAsiaTheme="minorEastAsia" w:cstheme="minorEastAsia"/>
                <w:szCs w:val="21"/>
              </w:rPr>
              <w:t>本部门主要负责</w:t>
            </w:r>
            <w:r>
              <w:rPr>
                <w:rFonts w:hint="eastAsia" w:asciiTheme="minorEastAsia" w:hAnsiTheme="minorEastAsia" w:eastAsiaTheme="minorEastAsia" w:cstheme="minorEastAsia"/>
                <w:szCs w:val="21"/>
                <w:lang w:val="en-US" w:eastAsia="zh-CN"/>
              </w:rPr>
              <w:t>公司的办公用品及环境、职业健康安全所需物资的采购</w:t>
            </w:r>
          </w:p>
          <w:p>
            <w:pPr>
              <w:spacing w:line="280" w:lineRule="exact"/>
              <w:ind w:firstLine="420"/>
              <w:rPr>
                <w:rFonts w:hint="default"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2）负责采购合同的评审及与客户的沟通及维护</w:t>
            </w:r>
          </w:p>
          <w:p>
            <w:pPr>
              <w:spacing w:line="280" w:lineRule="exact"/>
              <w:ind w:firstLine="420"/>
              <w:rPr>
                <w:rFonts w:hint="default"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3）合格供方调查情况及相关方的管理</w:t>
            </w:r>
          </w:p>
          <w:p>
            <w:pPr>
              <w:spacing w:line="280" w:lineRule="exact"/>
              <w:ind w:firstLine="42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4）部门</w:t>
            </w:r>
            <w:r>
              <w:rPr>
                <w:rFonts w:hint="eastAsia" w:asciiTheme="minorEastAsia" w:hAnsiTheme="minorEastAsia" w:eastAsiaTheme="minorEastAsia" w:cstheme="minorEastAsia"/>
                <w:szCs w:val="21"/>
              </w:rPr>
              <w:t>环境、职业健康安全管理活动的实施与执行</w:t>
            </w:r>
          </w:p>
          <w:p>
            <w:pPr>
              <w:spacing w:line="280" w:lineRule="exact"/>
              <w:ind w:firstLine="42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与负责人沟通，描述的职责和权限与一体化管理体系的职能分配表基本一致。</w:t>
            </w:r>
          </w:p>
          <w:p>
            <w:pPr>
              <w:spacing w:line="280" w:lineRule="exact"/>
              <w:ind w:firstLine="420"/>
              <w:rPr>
                <w:rFonts w:asciiTheme="minorEastAsia" w:hAnsiTheme="minorEastAsia" w:eastAsiaTheme="minorEastAsia" w:cstheme="minorEastAsia"/>
                <w:szCs w:val="21"/>
              </w:rPr>
            </w:pPr>
          </w:p>
        </w:tc>
        <w:tc>
          <w:tcPr>
            <w:tcW w:w="837" w:type="dxa"/>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1656" w:type="dxa"/>
          </w:tcPr>
          <w:p>
            <w:pPr>
              <w:spacing w:line="280" w:lineRule="exact"/>
              <w:rPr>
                <w:rFonts w:asciiTheme="minorEastAsia" w:hAnsiTheme="minorEastAsia" w:eastAsiaTheme="minorEastAsia" w:cstheme="minorEastAsia"/>
                <w:szCs w:val="21"/>
              </w:rPr>
            </w:pPr>
            <w:r>
              <w:rPr>
                <w:rFonts w:hint="eastAsia"/>
                <w:szCs w:val="21"/>
              </w:rPr>
              <w:t>目标和方案</w:t>
            </w:r>
          </w:p>
        </w:tc>
        <w:tc>
          <w:tcPr>
            <w:tcW w:w="1269" w:type="dxa"/>
          </w:tcPr>
          <w:p>
            <w:pPr>
              <w:rPr>
                <w:rFonts w:hint="eastAsia"/>
                <w:szCs w:val="21"/>
              </w:rPr>
            </w:pPr>
            <w:r>
              <w:rPr>
                <w:rFonts w:hint="eastAsia"/>
                <w:szCs w:val="21"/>
              </w:rPr>
              <w:t>QES</w:t>
            </w:r>
          </w:p>
          <w:p>
            <w:pPr>
              <w:rPr>
                <w:rFonts w:hint="eastAsia"/>
                <w:szCs w:val="21"/>
              </w:rPr>
            </w:pPr>
            <w:r>
              <w:rPr>
                <w:rFonts w:hint="eastAsia"/>
                <w:szCs w:val="21"/>
              </w:rPr>
              <w:t>6.2</w:t>
            </w:r>
          </w:p>
          <w:p>
            <w:pPr>
              <w:spacing w:line="280" w:lineRule="exact"/>
              <w:rPr>
                <w:rFonts w:asciiTheme="minorEastAsia" w:hAnsiTheme="minorEastAsia" w:eastAsiaTheme="minorEastAsia" w:cstheme="minorEastAsia"/>
                <w:szCs w:val="21"/>
              </w:rPr>
            </w:pPr>
          </w:p>
        </w:tc>
        <w:tc>
          <w:tcPr>
            <w:tcW w:w="10947" w:type="dxa"/>
          </w:tcPr>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管理目标有：                                                          </w:t>
            </w:r>
          </w:p>
          <w:p>
            <w:pPr>
              <w:ind w:firstLine="315" w:firstLineChars="150"/>
              <w:rPr>
                <w:rFonts w:hint="eastAsia" w:asciiTheme="minorEastAsia" w:hAnsiTheme="minorEastAsia" w:eastAsiaTheme="minorEastAsia" w:cstheme="minorEastAsia"/>
                <w:szCs w:val="21"/>
              </w:rPr>
            </w:pPr>
            <w:bookmarkStart w:id="0" w:name="_Hlk29206485"/>
            <w:r>
              <w:rPr>
                <w:rFonts w:hint="eastAsia" w:asciiTheme="minorEastAsia" w:hAnsiTheme="minorEastAsia" w:eastAsiaTheme="minorEastAsia" w:cstheme="minorEastAsia"/>
                <w:szCs w:val="21"/>
              </w:rPr>
              <w:t>采购产品合格率100%</w:t>
            </w:r>
          </w:p>
          <w:p>
            <w:pPr>
              <w:ind w:firstLine="315" w:firstLineChars="15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对供方业绩、绩效监测率100%</w:t>
            </w:r>
          </w:p>
          <w:p>
            <w:pPr>
              <w:ind w:firstLine="315" w:firstLineChars="15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固体废弃物100%分类、回收</w:t>
            </w:r>
          </w:p>
          <w:p>
            <w:pPr>
              <w:ind w:firstLine="315" w:firstLineChars="15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杜绝火灾发生</w:t>
            </w:r>
          </w:p>
          <w:p>
            <w:pPr>
              <w:ind w:firstLine="315" w:firstLineChars="15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触电事故为0                         </w:t>
            </w:r>
            <w:bookmarkEnd w:id="0"/>
            <w:r>
              <w:rPr>
                <w:rFonts w:hint="eastAsia" w:asciiTheme="minorEastAsia" w:hAnsiTheme="minorEastAsia" w:eastAsiaTheme="minorEastAsia" w:cstheme="minorEastAsia"/>
                <w:szCs w:val="21"/>
              </w:rPr>
              <w:t xml:space="preserve">                  </w:t>
            </w:r>
          </w:p>
          <w:p>
            <w:pPr>
              <w:spacing w:line="28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目标可测量，与公司方针一致。</w:t>
            </w:r>
          </w:p>
          <w:p>
            <w:pPr>
              <w:pStyle w:val="2"/>
              <w:rPr>
                <w:rFonts w:hint="default" w:eastAsia="宋体"/>
                <w:lang w:val="en-US" w:eastAsia="zh-CN"/>
              </w:rPr>
            </w:pPr>
            <w:r>
              <w:rPr>
                <w:rFonts w:hint="eastAsia"/>
                <w:lang w:val="en-US" w:eastAsia="zh-CN"/>
              </w:rPr>
              <w:t>提供管理方案，方案可行</w:t>
            </w:r>
          </w:p>
        </w:tc>
        <w:tc>
          <w:tcPr>
            <w:tcW w:w="837" w:type="dxa"/>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656" w:type="dxa"/>
            <w:vAlign w:val="center"/>
          </w:tcPr>
          <w:p>
            <w:pPr>
              <w:rPr>
                <w:szCs w:val="21"/>
              </w:rPr>
            </w:pPr>
            <w:r>
              <w:rPr>
                <w:rFonts w:hint="eastAsia"/>
                <w:szCs w:val="21"/>
              </w:rPr>
              <w:t>环境因素、危险源识别</w:t>
            </w:r>
          </w:p>
        </w:tc>
        <w:tc>
          <w:tcPr>
            <w:tcW w:w="1269" w:type="dxa"/>
            <w:vAlign w:val="center"/>
          </w:tcPr>
          <w:p>
            <w:pPr>
              <w:rPr>
                <w:rFonts w:hint="eastAsia"/>
                <w:szCs w:val="21"/>
              </w:rPr>
            </w:pPr>
            <w:r>
              <w:rPr>
                <w:rFonts w:hint="eastAsia"/>
                <w:szCs w:val="21"/>
              </w:rPr>
              <w:t>ES6.1.2</w:t>
            </w:r>
          </w:p>
          <w:p>
            <w:pPr>
              <w:rPr>
                <w:szCs w:val="21"/>
              </w:rPr>
            </w:pPr>
          </w:p>
        </w:tc>
        <w:tc>
          <w:tcPr>
            <w:tcW w:w="10947" w:type="dxa"/>
            <w:vAlign w:val="center"/>
          </w:tcPr>
          <w:p>
            <w:pPr>
              <w:spacing w:line="394" w:lineRule="exact"/>
              <w:ind w:firstLine="420" w:firstLineChars="200"/>
              <w:rPr>
                <w:rFonts w:hint="eastAsia"/>
                <w:szCs w:val="21"/>
              </w:rPr>
            </w:pPr>
            <w:r>
              <w:rPr>
                <w:rFonts w:hint="eastAsia"/>
                <w:szCs w:val="21"/>
              </w:rPr>
              <w:t>编制了</w:t>
            </w:r>
            <w:r>
              <w:rPr>
                <w:szCs w:val="21"/>
              </w:rPr>
              <w:t>《环境因素的识别与评价控制程序》《危险源辩识、风险评价和风险控制策划程序》</w:t>
            </w:r>
            <w:r>
              <w:rPr>
                <w:rFonts w:hint="eastAsia"/>
                <w:szCs w:val="21"/>
              </w:rPr>
              <w:t>符合标准要求.</w:t>
            </w:r>
          </w:p>
          <w:p>
            <w:pPr>
              <w:ind w:firstLine="420" w:firstLineChars="200"/>
              <w:rPr>
                <w:szCs w:val="21"/>
              </w:rPr>
            </w:pPr>
            <w:r>
              <w:rPr>
                <w:rFonts w:hint="eastAsia"/>
                <w:szCs w:val="21"/>
              </w:rPr>
              <w:t>提供的“环境因素识别评价表”“重要环境因素清单”， 评价考虑了三种时态现在、过去、将来、三种状态、异常、正常、紧急考虑了法律法规，并进行了评价，识别</w:t>
            </w:r>
            <w:r>
              <w:rPr>
                <w:rFonts w:hint="eastAsia"/>
                <w:sz w:val="20"/>
                <w:lang w:eastAsia="zh-CN"/>
              </w:rPr>
              <w:t>技术</w:t>
            </w:r>
            <w:r>
              <w:rPr>
                <w:rFonts w:hint="eastAsia"/>
                <w:sz w:val="20"/>
              </w:rPr>
              <w:t>管理</w:t>
            </w:r>
            <w:r>
              <w:rPr>
                <w:rFonts w:hint="eastAsia"/>
                <w:szCs w:val="21"/>
              </w:rPr>
              <w:t>过程，用打分法考虑了法规符合性、发生频次、影响范围等, 通过定性判断法，共识别出重大环境因素</w:t>
            </w:r>
            <w:r>
              <w:rPr>
                <w:szCs w:val="21"/>
              </w:rPr>
              <w:t>2</w:t>
            </w:r>
            <w:r>
              <w:rPr>
                <w:rFonts w:hint="eastAsia"/>
                <w:szCs w:val="21"/>
              </w:rPr>
              <w:t>项：固废排放、火灾，评价符合程序要求及公司的实际情况。</w:t>
            </w:r>
          </w:p>
          <w:p>
            <w:pPr>
              <w:ind w:firstLine="420" w:firstLineChars="200"/>
              <w:rPr>
                <w:rFonts w:hint="eastAsia"/>
                <w:szCs w:val="21"/>
              </w:rPr>
            </w:pPr>
            <w:r>
              <w:rPr>
                <w:rFonts w:hint="eastAsia"/>
                <w:szCs w:val="21"/>
              </w:rPr>
              <w:t>对重要环境因素的控制措施包括制定管理制度、监督检查、应急预案、培训等。提供《重要环境因素识别清单》，其中综合办涉及的重要环境因素：固废排放、意外火灾的发生，评价基本合理。</w:t>
            </w:r>
          </w:p>
          <w:p>
            <w:pPr>
              <w:ind w:firstLine="420" w:firstLineChars="200"/>
              <w:rPr>
                <w:rFonts w:hint="eastAsia"/>
                <w:szCs w:val="21"/>
              </w:rPr>
            </w:pPr>
            <w:r>
              <w:rPr>
                <w:rFonts w:hint="eastAsia"/>
                <w:szCs w:val="21"/>
              </w:rPr>
              <w:t>提供《危险源辨识、风险评价和控制措施确定控制程序》，对影响职业健康安全的危险源，评价其风险程度及级别，不可接受风险评价的标准和更新的时机,并确定更新不可接受风险因素从而进行有效控制等方面的管理要求进行了规定，满足要求。</w:t>
            </w:r>
          </w:p>
          <w:p>
            <w:pPr>
              <w:pStyle w:val="2"/>
              <w:rPr>
                <w:rFonts w:hint="eastAsia"/>
              </w:rPr>
            </w:pPr>
          </w:p>
          <w:p>
            <w:pPr>
              <w:ind w:firstLine="420" w:firstLineChars="200"/>
              <w:rPr>
                <w:szCs w:val="21"/>
              </w:rPr>
            </w:pPr>
            <w:r>
              <w:rPr>
                <w:rFonts w:hint="eastAsia"/>
                <w:szCs w:val="21"/>
              </w:rPr>
              <w:t>提供的：“危险源识别与风险评价表”“不可接受风险源清单”， 评价考虑了将来、状态、可能导致的事件，并进行了评价，用打分法考虑了法规符合性、发生频次、影响范围等, 通过是非法，共识别出不可接受风险3项，涉及：火灾和触电、意外伤害。评价符合程序要求及公司的实际情况。对危险源的控制措施包括制定管理制度、监督检查、应急预案、培训等。</w:t>
            </w:r>
          </w:p>
          <w:p>
            <w:pPr>
              <w:pStyle w:val="2"/>
              <w:rPr>
                <w:rFonts w:hint="eastAsia"/>
                <w:bCs w:val="0"/>
                <w:szCs w:val="21"/>
              </w:rPr>
            </w:pPr>
          </w:p>
          <w:p>
            <w:pPr>
              <w:ind w:firstLine="420" w:firstLineChars="200"/>
              <w:rPr>
                <w:szCs w:val="21"/>
              </w:rPr>
            </w:pPr>
            <w:r>
              <w:rPr>
                <w:rFonts w:hint="eastAsia"/>
                <w:szCs w:val="21"/>
              </w:rPr>
              <w:t>执行《危险源识别和评价控制程序》</w:t>
            </w:r>
          </w:p>
          <w:p>
            <w:pPr>
              <w:ind w:firstLine="420" w:firstLineChars="200"/>
              <w:rPr>
                <w:rFonts w:hint="eastAsia"/>
                <w:szCs w:val="21"/>
              </w:rPr>
            </w:pPr>
            <w:r>
              <w:rPr>
                <w:rFonts w:hint="eastAsia"/>
                <w:szCs w:val="21"/>
              </w:rPr>
              <w:t>提供了职业健康安全危险源识别与评价表，涉及本部门的危险源包括：使用电器不当造成触电，搬运货物造成的砸伤，吸烟乱扔烟头导致火灾，上下班途中交通危险，电器短路或使用时间过长散热不良，相关方进厂驾驶员违章驾驶等。</w:t>
            </w:r>
          </w:p>
          <w:p>
            <w:pPr>
              <w:rPr>
                <w:szCs w:val="21"/>
              </w:rPr>
            </w:pPr>
            <w:r>
              <w:rPr>
                <w:rFonts w:hint="eastAsia"/>
                <w:szCs w:val="21"/>
              </w:rPr>
              <w:t>用LEC法对识别的危险源进行评价，本部门不可接受风险火灾、触电</w:t>
            </w:r>
            <w:r>
              <w:rPr>
                <w:rFonts w:hint="eastAsia"/>
                <w:szCs w:val="21"/>
                <w:lang w:eastAsia="zh-CN"/>
              </w:rPr>
              <w:t>、</w:t>
            </w:r>
            <w:r>
              <w:rPr>
                <w:rFonts w:hint="eastAsia"/>
                <w:szCs w:val="21"/>
                <w:lang w:val="en-US" w:eastAsia="zh-CN"/>
              </w:rPr>
              <w:t>意外伤害</w:t>
            </w:r>
            <w:r>
              <w:rPr>
                <w:rFonts w:hint="eastAsia"/>
                <w:szCs w:val="21"/>
              </w:rPr>
              <w:t>评价基本准确。</w:t>
            </w:r>
          </w:p>
        </w:tc>
        <w:tc>
          <w:tcPr>
            <w:tcW w:w="837" w:type="dxa"/>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0" w:hRule="atLeast"/>
        </w:trPr>
        <w:tc>
          <w:tcPr>
            <w:tcW w:w="1656" w:type="dxa"/>
            <w:vAlign w:val="top"/>
          </w:tcPr>
          <w:p>
            <w:pPr>
              <w:spacing w:line="360" w:lineRule="auto"/>
              <w:rPr>
                <w:rFonts w:ascii="宋体" w:hAnsi="宋体" w:cs="宋体"/>
                <w:szCs w:val="21"/>
              </w:rPr>
            </w:pPr>
            <w:r>
              <w:rPr>
                <w:rFonts w:hint="eastAsia" w:ascii="宋体" w:hAnsi="宋体" w:cs="宋体"/>
                <w:szCs w:val="21"/>
              </w:rPr>
              <w:t>外部提供的 控制/总则</w:t>
            </w:r>
          </w:p>
          <w:p>
            <w:pPr>
              <w:spacing w:line="360" w:lineRule="auto"/>
              <w:rPr>
                <w:rFonts w:hint="eastAsia" w:ascii="宋体" w:hAnsi="宋体" w:eastAsia="宋体" w:cs="宋体"/>
                <w:kern w:val="2"/>
                <w:sz w:val="21"/>
                <w:szCs w:val="21"/>
                <w:lang w:val="en-US" w:eastAsia="zh-CN" w:bidi="ar-SA"/>
              </w:rPr>
            </w:pPr>
          </w:p>
        </w:tc>
        <w:tc>
          <w:tcPr>
            <w:tcW w:w="1269" w:type="dxa"/>
            <w:vAlign w:val="top"/>
          </w:tcPr>
          <w:p>
            <w:pPr>
              <w:rPr>
                <w:rFonts w:hint="eastAsia" w:ascii="宋体" w:hAnsi="宋体" w:eastAsia="宋体" w:cs="宋体"/>
                <w:b/>
                <w:kern w:val="2"/>
                <w:sz w:val="21"/>
                <w:szCs w:val="21"/>
                <w:lang w:val="en-US" w:eastAsia="zh-CN" w:bidi="ar-SA"/>
              </w:rPr>
            </w:pPr>
            <w:r>
              <w:rPr>
                <w:rFonts w:hint="eastAsia" w:ascii="宋体" w:hAnsi="宋体" w:cs="宋体"/>
                <w:b/>
                <w:szCs w:val="21"/>
              </w:rPr>
              <w:t>8.4</w:t>
            </w:r>
          </w:p>
        </w:tc>
        <w:tc>
          <w:tcPr>
            <w:tcW w:w="10947" w:type="dxa"/>
            <w:vAlign w:val="top"/>
          </w:tcPr>
          <w:p>
            <w:pPr>
              <w:spacing w:line="400" w:lineRule="exact"/>
              <w:ind w:firstLine="420" w:firstLineChars="200"/>
              <w:rPr>
                <w:rFonts w:hint="eastAsia" w:ascii="宋体" w:hAnsi="宋体" w:cs="宋体"/>
                <w:color w:val="000000" w:themeColor="text1"/>
                <w:szCs w:val="21"/>
                <w:lang w:val="en-US" w:eastAsia="zh-CN"/>
              </w:rPr>
            </w:pPr>
            <w:r>
              <w:rPr>
                <w:rFonts w:hint="eastAsia" w:ascii="宋体" w:hAnsi="宋体" w:cs="宋体"/>
                <w:szCs w:val="21"/>
                <w:lang w:val="en-US" w:eastAsia="zh-CN"/>
              </w:rPr>
              <w:t>查，公司编制了质量手册8.4</w:t>
            </w:r>
            <w:r>
              <w:rPr>
                <w:rFonts w:hint="eastAsia" w:ascii="宋体" w:hAnsi="宋体" w:cs="宋体"/>
                <w:color w:val="000000" w:themeColor="text1"/>
                <w:szCs w:val="21"/>
                <w:lang w:val="en-US" w:eastAsia="zh-CN"/>
              </w:rPr>
              <w:t>条款及《采购控制程序》。文件规</w:t>
            </w:r>
            <w:r>
              <w:rPr>
                <w:rFonts w:hint="eastAsia" w:ascii="宋体" w:hAnsi="宋体" w:cs="宋体"/>
                <w:szCs w:val="21"/>
                <w:lang w:val="en-US" w:eastAsia="zh-CN"/>
              </w:rPr>
              <w:t>定了本公司有关的采购产品的采购过程进行控制，确保采购物资符合质量要求以及在交付和服务等各方面符合规定的要求。规定了对供应商</w:t>
            </w:r>
            <w:r>
              <w:rPr>
                <w:rFonts w:hint="eastAsia" w:ascii="宋体" w:hAnsi="宋体" w:cs="宋体"/>
                <w:color w:val="000000" w:themeColor="text1"/>
                <w:szCs w:val="21"/>
                <w:lang w:val="en-US" w:eastAsia="zh-CN"/>
              </w:rPr>
              <w:t>每年进行评审。</w:t>
            </w:r>
          </w:p>
          <w:p>
            <w:pPr>
              <w:pStyle w:val="2"/>
              <w:rPr>
                <w:rFonts w:hint="default" w:ascii="宋体" w:hAnsi="宋体" w:cs="宋体"/>
                <w:color w:val="000000" w:themeColor="text1"/>
                <w:szCs w:val="21"/>
                <w:lang w:val="en-US" w:eastAsia="zh-CN"/>
              </w:rPr>
            </w:pPr>
            <w:r>
              <w:rPr>
                <w:rFonts w:hint="eastAsia" w:ascii="宋体" w:hAnsi="宋体" w:cs="宋体"/>
                <w:color w:val="000000" w:themeColor="text1"/>
                <w:szCs w:val="21"/>
                <w:lang w:val="en-US" w:eastAsia="zh-CN"/>
              </w:rPr>
              <w:t xml:space="preserve"> 提供有合格供方名录，评价表，采购合同等</w:t>
            </w:r>
          </w:p>
          <w:p>
            <w:pPr>
              <w:pStyle w:val="2"/>
              <w:rPr>
                <w:rFonts w:hint="eastAsia"/>
                <w:lang w:val="en-US" w:eastAsia="zh-CN"/>
              </w:rPr>
            </w:pPr>
          </w:p>
          <w:p>
            <w:pPr>
              <w:pStyle w:val="2"/>
              <w:rPr>
                <w:rFonts w:hint="default" w:ascii="Times New Roman" w:hAnsi="Times New Roman" w:eastAsia="宋体" w:cs="Times New Roman"/>
                <w:bCs/>
                <w:color w:val="FF0000"/>
                <w:spacing w:val="10"/>
                <w:kern w:val="2"/>
                <w:sz w:val="21"/>
                <w:szCs w:val="21"/>
                <w:lang w:val="en-US" w:eastAsia="zh-CN" w:bidi="ar-SA"/>
              </w:rPr>
            </w:pPr>
            <w:bookmarkStart w:id="1" w:name="_GoBack"/>
            <w:r>
              <w:rPr>
                <w:rFonts w:hint="eastAsia" w:ascii="宋体" w:hAnsi="宋体" w:eastAsia="宋体" w:cs="宋体"/>
                <w:bCs w:val="0"/>
                <w:spacing w:val="0"/>
                <w:kern w:val="2"/>
                <w:sz w:val="21"/>
                <w:szCs w:val="21"/>
                <w:lang w:val="en-US" w:eastAsia="zh-CN" w:bidi="ar-SA"/>
              </w:rPr>
              <w:t>符合要求</w:t>
            </w:r>
            <w:bookmarkEnd w:id="1"/>
          </w:p>
        </w:tc>
        <w:tc>
          <w:tcPr>
            <w:tcW w:w="837" w:type="dxa"/>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656" w:type="dxa"/>
          </w:tcPr>
          <w:p>
            <w:pPr>
              <w:spacing w:line="28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运行控制</w:t>
            </w:r>
          </w:p>
        </w:tc>
        <w:tc>
          <w:tcPr>
            <w:tcW w:w="1269" w:type="dxa"/>
          </w:tcPr>
          <w:p>
            <w:pPr>
              <w:spacing w:line="280" w:lineRule="exac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E</w:t>
            </w:r>
            <w:r>
              <w:rPr>
                <w:rFonts w:hint="eastAsia" w:asciiTheme="minorEastAsia" w:hAnsiTheme="minorEastAsia" w:eastAsiaTheme="minorEastAsia" w:cstheme="minorEastAsia"/>
                <w:kern w:val="0"/>
                <w:szCs w:val="21"/>
                <w:lang w:val="en-US" w:eastAsia="zh-CN"/>
              </w:rPr>
              <w:t>S</w:t>
            </w:r>
            <w:r>
              <w:rPr>
                <w:rFonts w:hint="eastAsia" w:asciiTheme="minorEastAsia" w:hAnsiTheme="minorEastAsia" w:eastAsiaTheme="minorEastAsia" w:cstheme="minorEastAsia"/>
                <w:kern w:val="0"/>
                <w:szCs w:val="21"/>
              </w:rPr>
              <w:t>8.1</w:t>
            </w:r>
          </w:p>
          <w:p>
            <w:pPr>
              <w:spacing w:line="280" w:lineRule="exact"/>
              <w:rPr>
                <w:rFonts w:asciiTheme="minorEastAsia" w:hAnsiTheme="minorEastAsia" w:eastAsiaTheme="minorEastAsia" w:cstheme="minorEastAsia"/>
                <w:szCs w:val="21"/>
              </w:rPr>
            </w:pPr>
          </w:p>
        </w:tc>
        <w:tc>
          <w:tcPr>
            <w:tcW w:w="10947" w:type="dxa"/>
            <w:vAlign w:val="center"/>
          </w:tcPr>
          <w:p>
            <w:r>
              <w:rPr>
                <w:rFonts w:hint="eastAsia"/>
              </w:rPr>
              <w:t>1、公司制定并执行“环境及职业健康安全运行控制程序”、“环境管理制度”、“安全检查制度”、“能源消耗考核管理制度”等。</w:t>
            </w:r>
          </w:p>
          <w:p>
            <w:pPr>
              <w:rPr>
                <w:rFonts w:hint="eastAsia"/>
              </w:rPr>
            </w:pPr>
            <w:r>
              <w:rPr>
                <w:rFonts w:hint="eastAsia"/>
              </w:rPr>
              <w:t>2、废水</w:t>
            </w:r>
          </w:p>
          <w:p>
            <w:pPr>
              <w:rPr>
                <w:rFonts w:hint="eastAsia" w:ascii="宋体" w:hAnsi="宋体"/>
                <w:b w:val="0"/>
                <w:bCs w:val="0"/>
                <w:szCs w:val="21"/>
              </w:rPr>
            </w:pPr>
            <w:r>
              <w:rPr>
                <w:rFonts w:hint="eastAsia"/>
              </w:rPr>
              <w:t>公司</w:t>
            </w:r>
            <w:r>
              <w:rPr>
                <w:rFonts w:hint="eastAsia"/>
                <w:b w:val="0"/>
                <w:bCs w:val="0"/>
              </w:rPr>
              <w:t>的</w:t>
            </w:r>
            <w:r>
              <w:rPr>
                <w:rFonts w:hint="eastAsia" w:ascii="宋体" w:hAnsi="宋体"/>
                <w:b w:val="0"/>
                <w:bCs w:val="0"/>
                <w:szCs w:val="21"/>
              </w:rPr>
              <w:t>的</w:t>
            </w:r>
            <w:r>
              <w:rPr>
                <w:rFonts w:hint="eastAsia" w:ascii="宋体" w:hAnsi="宋体"/>
                <w:b w:val="0"/>
                <w:bCs w:val="0"/>
                <w:szCs w:val="21"/>
                <w:lang w:eastAsia="zh-CN"/>
              </w:rPr>
              <w:t>技术</w:t>
            </w:r>
            <w:r>
              <w:rPr>
                <w:rFonts w:hint="eastAsia" w:ascii="宋体" w:hAnsi="宋体"/>
                <w:b w:val="0"/>
                <w:bCs w:val="0"/>
                <w:szCs w:val="21"/>
              </w:rPr>
              <w:t>管理</w:t>
            </w:r>
            <w:r>
              <w:rPr>
                <w:rFonts w:hint="eastAsia" w:ascii="宋体" w:hAnsi="宋体"/>
                <w:b w:val="0"/>
                <w:bCs w:val="0"/>
              </w:rPr>
              <w:t>不产生废水，办公用水最后排入市政管网。</w:t>
            </w:r>
          </w:p>
          <w:p>
            <w:pPr>
              <w:pStyle w:val="2"/>
              <w:rPr>
                <w:rFonts w:hint="eastAsia" w:ascii="宋体" w:hAnsi="宋体"/>
                <w:b w:val="0"/>
                <w:bCs w:val="0"/>
              </w:rPr>
            </w:pPr>
            <w:r>
              <w:rPr>
                <w:rFonts w:hint="eastAsia" w:ascii="宋体" w:hAnsi="宋体"/>
                <w:b w:val="0"/>
                <w:bCs w:val="0"/>
              </w:rPr>
              <w:t>3、废气</w:t>
            </w:r>
          </w:p>
          <w:p>
            <w:pPr>
              <w:rPr>
                <w:rFonts w:hint="eastAsia" w:ascii="宋体" w:hAnsi="宋体"/>
                <w:b w:val="0"/>
                <w:bCs w:val="0"/>
                <w:szCs w:val="21"/>
              </w:rPr>
            </w:pPr>
            <w:r>
              <w:rPr>
                <w:rFonts w:hint="eastAsia" w:ascii="宋体" w:hAnsi="宋体"/>
                <w:b w:val="0"/>
                <w:bCs w:val="0"/>
                <w:szCs w:val="21"/>
                <w:lang w:val="en-US" w:eastAsia="zh-CN"/>
              </w:rPr>
              <w:t>业务</w:t>
            </w:r>
            <w:r>
              <w:rPr>
                <w:rFonts w:hint="eastAsia" w:ascii="宋体" w:hAnsi="宋体"/>
                <w:b w:val="0"/>
                <w:bCs w:val="0"/>
                <w:szCs w:val="21"/>
              </w:rPr>
              <w:t>管理</w:t>
            </w:r>
            <w:r>
              <w:rPr>
                <w:rFonts w:hint="eastAsia" w:ascii="宋体" w:hAnsi="宋体"/>
                <w:b w:val="0"/>
                <w:bCs w:val="0"/>
              </w:rPr>
              <w:t>不产生废气，公司清扫地面及临时场所服务时，有少量的灰尘产生，公司发口罩，对员工进行个体防护</w:t>
            </w:r>
          </w:p>
          <w:p>
            <w:pPr>
              <w:pStyle w:val="2"/>
              <w:numPr>
                <w:ilvl w:val="0"/>
                <w:numId w:val="1"/>
              </w:numPr>
              <w:rPr>
                <w:rFonts w:hint="eastAsia" w:ascii="宋体" w:hAnsi="宋体"/>
                <w:b w:val="0"/>
                <w:bCs w:val="0"/>
              </w:rPr>
            </w:pPr>
            <w:r>
              <w:rPr>
                <w:rFonts w:hint="eastAsia" w:ascii="宋体" w:hAnsi="宋体"/>
                <w:b w:val="0"/>
                <w:bCs w:val="0"/>
              </w:rPr>
              <w:t>固废</w:t>
            </w:r>
          </w:p>
          <w:p>
            <w:pPr>
              <w:rPr>
                <w:rFonts w:hint="eastAsia" w:ascii="宋体" w:hAnsi="宋体"/>
                <w:b w:val="0"/>
                <w:bCs w:val="0"/>
                <w:szCs w:val="21"/>
              </w:rPr>
            </w:pPr>
            <w:r>
              <w:rPr>
                <w:rFonts w:hint="eastAsia" w:ascii="宋体" w:hAnsi="宋体"/>
                <w:b w:val="0"/>
                <w:bCs w:val="0"/>
                <w:szCs w:val="21"/>
                <w:lang w:val="en-US" w:eastAsia="zh-CN"/>
              </w:rPr>
              <w:t>办公</w:t>
            </w:r>
            <w:r>
              <w:rPr>
                <w:rFonts w:hint="eastAsia" w:ascii="宋体" w:hAnsi="宋体"/>
                <w:b w:val="0"/>
                <w:bCs w:val="0"/>
              </w:rPr>
              <w:t>过程中会产生废气的纸屑、果皮等垃圾，统一交环卫进行收集处理。</w:t>
            </w:r>
          </w:p>
          <w:p>
            <w:pPr>
              <w:pStyle w:val="2"/>
              <w:rPr>
                <w:rFonts w:hint="eastAsia" w:ascii="宋体" w:hAnsi="宋体"/>
                <w:b w:val="0"/>
                <w:bCs w:val="0"/>
              </w:rPr>
            </w:pPr>
            <w:r>
              <w:rPr>
                <w:rFonts w:hint="eastAsia" w:ascii="宋体" w:hAnsi="宋体"/>
                <w:b w:val="0"/>
                <w:bCs w:val="0"/>
              </w:rPr>
              <w:t>办公墨盒、电池等由厂家回收</w:t>
            </w:r>
          </w:p>
          <w:p>
            <w:pPr>
              <w:numPr>
                <w:ilvl w:val="0"/>
                <w:numId w:val="1"/>
              </w:numPr>
              <w:rPr>
                <w:rFonts w:hint="eastAsia" w:cs="Lucida Sans"/>
                <w:bCs/>
              </w:rPr>
            </w:pPr>
            <w:r>
              <w:rPr>
                <w:rFonts w:hint="eastAsia" w:cs="Lucida Sans"/>
                <w:bCs/>
              </w:rPr>
              <w:t>能资源管理：公司规定人走灯灭，人走关水等节能节水措施，并互相监督</w:t>
            </w:r>
          </w:p>
          <w:p>
            <w:pPr>
              <w:rPr>
                <w:rFonts w:hint="eastAsia"/>
              </w:rPr>
            </w:pPr>
            <w:r>
              <w:rPr>
                <w:rFonts w:hint="eastAsia"/>
              </w:rPr>
              <w:t>6、办公区域:，现场查看办公区域环境整洁、宽敞、办公设备状态良好、</w:t>
            </w:r>
          </w:p>
          <w:p>
            <w:r>
              <w:rPr>
                <w:rFonts w:hint="eastAsia"/>
              </w:rPr>
              <w:t>7、工作时间平均每天不超过8小时。</w:t>
            </w:r>
          </w:p>
          <w:p>
            <w:pPr>
              <w:rPr>
                <w:rFonts w:hint="eastAsia"/>
              </w:rPr>
            </w:pPr>
            <w:r>
              <w:rPr>
                <w:rFonts w:hint="eastAsia"/>
              </w:rPr>
              <w:t>8、现场查看办公区域，整洁、光线充足、室内空气良好、配置有空调，办公条件较好，办公设备安全状态良好，教育员工正确使用办公设备，现场用电基本规范，无乱拉线现象，防止火灾发生。</w:t>
            </w:r>
          </w:p>
          <w:p>
            <w:pPr>
              <w:rPr>
                <w:rFonts w:hint="eastAsia"/>
              </w:rPr>
            </w:pPr>
            <w:r>
              <w:t>9</w:t>
            </w:r>
            <w:r>
              <w:rPr>
                <w:rFonts w:hint="eastAsia"/>
              </w:rPr>
              <w:t>、相关方施加影响：公司能够控制或能够施加影响的相关方有顾客等。提供了“致相关方的公开信”，将公司的环境/安全控制要求发放到了所有相关方:运输公司\供应商\外来员工等</w:t>
            </w:r>
          </w:p>
          <w:p>
            <w:pPr>
              <w:rPr>
                <w:rFonts w:hint="eastAsia"/>
              </w:rPr>
            </w:pPr>
            <w:r>
              <w:t>10</w:t>
            </w:r>
            <w:r>
              <w:rPr>
                <w:rFonts w:hint="eastAsia"/>
              </w:rPr>
              <w:t>、驾驶员要求遵守道路交通安全法规，不违章驾车，驾驶证和车辆定期年审，确保行车安全。</w:t>
            </w:r>
          </w:p>
          <w:p>
            <w:pPr>
              <w:pStyle w:val="2"/>
              <w:rPr>
                <w:rFonts w:hint="default" w:eastAsia="宋体"/>
                <w:color w:val="auto"/>
                <w:lang w:val="en-US" w:eastAsia="zh-CN"/>
              </w:rPr>
            </w:pPr>
            <w:r>
              <w:rPr>
                <w:rFonts w:hint="eastAsia"/>
                <w:color w:val="auto"/>
                <w:lang w:val="en-US" w:eastAsia="zh-CN"/>
              </w:rPr>
              <w:t>11.公司给员工每年进行体检，见到体检报告，给员工上社保，见到社保缴费记录</w:t>
            </w:r>
          </w:p>
          <w:p>
            <w:pPr>
              <w:rPr>
                <w:rFonts w:hint="eastAsia"/>
                <w:color w:val="auto"/>
                <w:lang w:val="en-US" w:eastAsia="zh-CN"/>
              </w:rPr>
            </w:pPr>
            <w:r>
              <w:rPr>
                <w:rFonts w:hint="eastAsia"/>
                <w:color w:val="auto"/>
                <w:lang w:val="en-US" w:eastAsia="zh-CN"/>
              </w:rPr>
              <w:t>12、火灾控制:（1）公司办公区域配置有相应数量的灭火器和消防栓，经常检查灭火器材的状况，消防水龙头是否正常，灭火器压力是否足够等。发现问题立即解决，并做好记录;（2）经常检查，及时发现火险隐患并作出正确处理。</w:t>
            </w:r>
          </w:p>
          <w:p>
            <w:pPr>
              <w:rPr>
                <w:rFonts w:hint="eastAsia"/>
                <w:color w:val="auto"/>
                <w:lang w:val="en-US" w:eastAsia="zh-CN"/>
              </w:rPr>
            </w:pPr>
            <w:r>
              <w:rPr>
                <w:rFonts w:hint="eastAsia"/>
                <w:color w:val="auto"/>
                <w:lang w:val="en-US" w:eastAsia="zh-CN"/>
              </w:rPr>
              <w:t>13、随时检查清理办公场所管理现场，可燃物不随意堆积，如有堆积必须配备相应的灭火器材;;</w:t>
            </w:r>
          </w:p>
          <w:p>
            <w:pPr>
              <w:numPr>
                <w:ilvl w:val="0"/>
                <w:numId w:val="0"/>
              </w:numPr>
              <w:ind w:leftChars="0"/>
              <w:rPr>
                <w:rFonts w:hint="eastAsia" w:ascii="Times New Roman" w:hAnsi="Times New Roman" w:eastAsia="宋体" w:cs="Lucida Sans"/>
                <w:b w:val="0"/>
                <w:bCs/>
                <w:color w:val="auto"/>
                <w:szCs w:val="20"/>
              </w:rPr>
            </w:pPr>
            <w:r>
              <w:rPr>
                <w:rFonts w:hint="eastAsia" w:cs="Lucida Sans"/>
                <w:b w:val="0"/>
                <w:bCs/>
                <w:color w:val="auto"/>
                <w:szCs w:val="20"/>
                <w:lang w:val="en-US" w:eastAsia="zh-CN"/>
              </w:rPr>
              <w:t>14、触电管理：随时对电气线路进行检查，防止因短路、过载和接触电阻过大等原因产生电火花或引起电线电缆温度过高而引发火灾。同时电动机机壳必须装有良好的接地保护;</w:t>
            </w:r>
          </w:p>
          <w:p>
            <w:pPr>
              <w:pStyle w:val="2"/>
              <w:rPr>
                <w:rFonts w:hint="eastAsia"/>
                <w:color w:val="auto"/>
                <w:lang w:val="en-US" w:eastAsia="zh-CN"/>
              </w:rPr>
            </w:pPr>
            <w:r>
              <w:rPr>
                <w:rFonts w:hint="eastAsia"/>
                <w:color w:val="auto"/>
                <w:lang w:val="en-US" w:eastAsia="zh-CN"/>
              </w:rPr>
              <w:t>15、意外伤害控制：工作时间不吸烟喝酒、不酒后驾车等，对员工开展安全教育</w:t>
            </w:r>
          </w:p>
          <w:p>
            <w:pPr>
              <w:pStyle w:val="2"/>
              <w:rPr>
                <w:color w:val="auto"/>
                <w:szCs w:val="21"/>
              </w:rPr>
            </w:pPr>
            <w:r>
              <w:rPr>
                <w:rFonts w:hint="eastAsia"/>
                <w:color w:val="auto"/>
                <w:szCs w:val="21"/>
              </w:rPr>
              <w:t>运行符合要求</w:t>
            </w:r>
          </w:p>
          <w:p>
            <w:pPr>
              <w:pStyle w:val="2"/>
              <w:ind w:firstLine="460" w:firstLineChars="200"/>
              <w:rPr>
                <w:rFonts w:asciiTheme="minorEastAsia" w:hAnsiTheme="minorEastAsia" w:eastAsiaTheme="minorEastAsia" w:cstheme="minorEastAsia"/>
                <w:szCs w:val="21"/>
              </w:rPr>
            </w:pPr>
          </w:p>
        </w:tc>
        <w:tc>
          <w:tcPr>
            <w:tcW w:w="837" w:type="dxa"/>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1" w:hRule="atLeast"/>
        </w:trPr>
        <w:tc>
          <w:tcPr>
            <w:tcW w:w="1656" w:type="dxa"/>
          </w:tcPr>
          <w:p>
            <w:pPr>
              <w:spacing w:line="28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应急准备和响应</w:t>
            </w:r>
          </w:p>
        </w:tc>
        <w:tc>
          <w:tcPr>
            <w:tcW w:w="1269" w:type="dxa"/>
          </w:tcPr>
          <w:p>
            <w:pPr>
              <w:spacing w:line="280" w:lineRule="exac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E</w:t>
            </w:r>
            <w:r>
              <w:rPr>
                <w:rFonts w:hint="eastAsia" w:asciiTheme="minorEastAsia" w:hAnsiTheme="minorEastAsia" w:eastAsiaTheme="minorEastAsia" w:cstheme="minorEastAsia"/>
                <w:kern w:val="0"/>
                <w:szCs w:val="21"/>
                <w:lang w:val="en-US" w:eastAsia="zh-CN"/>
              </w:rPr>
              <w:t>S</w:t>
            </w:r>
            <w:r>
              <w:rPr>
                <w:rFonts w:hint="eastAsia" w:asciiTheme="minorEastAsia" w:hAnsiTheme="minorEastAsia" w:eastAsiaTheme="minorEastAsia" w:cstheme="minorEastAsia"/>
                <w:kern w:val="0"/>
                <w:szCs w:val="21"/>
              </w:rPr>
              <w:t>8.2</w:t>
            </w:r>
          </w:p>
          <w:p>
            <w:pPr>
              <w:spacing w:line="280" w:lineRule="exact"/>
              <w:rPr>
                <w:rFonts w:asciiTheme="minorEastAsia" w:hAnsiTheme="minorEastAsia" w:eastAsiaTheme="minorEastAsia" w:cstheme="minorEastAsia"/>
                <w:szCs w:val="21"/>
              </w:rPr>
            </w:pPr>
          </w:p>
        </w:tc>
        <w:tc>
          <w:tcPr>
            <w:tcW w:w="10947" w:type="dxa"/>
            <w:vAlign w:val="center"/>
          </w:tcPr>
          <w:p>
            <w:pPr>
              <w:spacing w:line="280" w:lineRule="exac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见综合部</w:t>
            </w:r>
            <w:r>
              <w:rPr>
                <w:rFonts w:hint="eastAsia" w:asciiTheme="minorEastAsia" w:hAnsiTheme="minorEastAsia" w:eastAsiaTheme="minorEastAsia" w:cstheme="minorEastAsia"/>
                <w:kern w:val="0"/>
                <w:szCs w:val="21"/>
              </w:rPr>
              <w:t>E</w:t>
            </w:r>
            <w:r>
              <w:rPr>
                <w:rFonts w:hint="eastAsia" w:asciiTheme="minorEastAsia" w:hAnsiTheme="minorEastAsia" w:eastAsiaTheme="minorEastAsia" w:cstheme="minorEastAsia"/>
                <w:kern w:val="0"/>
                <w:szCs w:val="21"/>
                <w:lang w:val="en-US" w:eastAsia="zh-CN"/>
              </w:rPr>
              <w:t>S</w:t>
            </w:r>
            <w:r>
              <w:rPr>
                <w:rFonts w:hint="eastAsia" w:asciiTheme="minorEastAsia" w:hAnsiTheme="minorEastAsia" w:eastAsiaTheme="minorEastAsia" w:cstheme="minorEastAsia"/>
                <w:kern w:val="0"/>
                <w:szCs w:val="21"/>
              </w:rPr>
              <w:t>8.2审核记录。</w:t>
            </w:r>
          </w:p>
        </w:tc>
        <w:tc>
          <w:tcPr>
            <w:tcW w:w="837" w:type="dxa"/>
          </w:tcPr>
          <w:p>
            <w:pPr>
              <w:rPr>
                <w:rFonts w:asciiTheme="minorEastAsia" w:hAnsiTheme="minorEastAsia" w:eastAsiaTheme="minorEastAsia" w:cstheme="minorEastAsia"/>
                <w:szCs w:val="21"/>
              </w:rPr>
            </w:pPr>
          </w:p>
        </w:tc>
      </w:tr>
    </w:tbl>
    <w:p>
      <w:r>
        <w:ptab w:relativeTo="margin" w:alignment="center" w:leader="none"/>
      </w:r>
    </w:p>
    <w:p>
      <w:pPr>
        <w:pStyle w:val="5"/>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隶书">
    <w:altName w:val="微软雅黑"/>
    <w:panose1 w:val="00000000000000000000"/>
    <w:charset w:val="86"/>
    <w:family w:val="modern"/>
    <w:pitch w:val="default"/>
    <w:sig w:usb0="00000000" w:usb1="00000000" w:usb2="00000000" w:usb3="00000000" w:csb0="00040000" w:csb1="00000000"/>
  </w:font>
  <w:font w:name="Lucida Sans">
    <w:altName w:val="Lucida Sans Unicode"/>
    <w:panose1 w:val="00000000000000000000"/>
    <w:charset w:val="00"/>
    <w:family w:val="swiss"/>
    <w:pitch w:val="default"/>
    <w:sig w:usb0="00000000" w:usb1="00000000" w:usb2="00000000" w:usb3="00000000" w:csb0="0000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5"/>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6"/>
      <w:pBdr>
        <w:bottom w:val="none" w:color="auto" w:sz="0" w:space="1"/>
      </w:pBdr>
      <w:spacing w:line="320" w:lineRule="exact"/>
      <w:jc w:val="left"/>
    </w:pPr>
    <w:r>
      <w:pict>
        <v:shape id="文本框 1" o:spid="_x0000_s4097" o:spt="202" type="#_x0000_t202" style="position:absolute;left:0pt;margin-left:554.75pt;margin-top:2.2pt;height:20.2pt;width:172pt;z-index:251661312;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ISC-B-I-19 管理体系审核记录表(03版)</w:t>
                </w:r>
              </w:p>
            </w:txbxContent>
          </v:textbox>
        </v:shape>
      </w:pict>
    </w:r>
    <w:r>
      <w:rPr>
        <w:rStyle w:val="13"/>
        <w:rFonts w:hint="default"/>
      </w:rPr>
      <w:t xml:space="preserve">        </w:t>
    </w:r>
    <w:r>
      <w:rPr>
        <w:rStyle w:val="13"/>
        <w:rFonts w:hint="default"/>
        <w:w w:val="90"/>
      </w:rPr>
      <w:t>Beijing International Standard united Certification Co.,Ltd.</w:t>
    </w:r>
    <w:r>
      <w:rPr>
        <w:rStyle w:val="13"/>
        <w:rFonts w:hint="default"/>
        <w:w w:val="90"/>
        <w:szCs w:val="21"/>
      </w:rPr>
      <w:t xml:space="preserve">  </w:t>
    </w:r>
    <w:r>
      <w:rPr>
        <w:rStyle w:val="13"/>
        <w:rFonts w:hint="default"/>
        <w:w w:val="90"/>
        <w:sz w:val="20"/>
      </w:rPr>
      <w:t xml:space="preserve"> </w:t>
    </w:r>
    <w:r>
      <w:rPr>
        <w:rStyle w:val="13"/>
        <w:rFonts w:hint="default"/>
        <w:w w:val="90"/>
      </w:rPr>
      <w:t xml:space="preserve">                   </w:t>
    </w:r>
  </w:p>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6CA43"/>
    <w:multiLevelType w:val="singleLevel"/>
    <w:tmpl w:val="0376CA43"/>
    <w:lvl w:ilvl="0" w:tentative="0">
      <w:start w:val="4"/>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237F6"/>
    <w:rsid w:val="0003373A"/>
    <w:rsid w:val="000D2160"/>
    <w:rsid w:val="000F5936"/>
    <w:rsid w:val="00152A59"/>
    <w:rsid w:val="0018580D"/>
    <w:rsid w:val="001A2D7F"/>
    <w:rsid w:val="001B513C"/>
    <w:rsid w:val="002461FC"/>
    <w:rsid w:val="002F6C64"/>
    <w:rsid w:val="00337922"/>
    <w:rsid w:val="00340867"/>
    <w:rsid w:val="00346D4E"/>
    <w:rsid w:val="00380837"/>
    <w:rsid w:val="003A198A"/>
    <w:rsid w:val="00410914"/>
    <w:rsid w:val="00485006"/>
    <w:rsid w:val="004911A3"/>
    <w:rsid w:val="00536930"/>
    <w:rsid w:val="005530B6"/>
    <w:rsid w:val="00564E53"/>
    <w:rsid w:val="005D26B9"/>
    <w:rsid w:val="00602AB8"/>
    <w:rsid w:val="00614203"/>
    <w:rsid w:val="00644FE2"/>
    <w:rsid w:val="0067640C"/>
    <w:rsid w:val="006E678B"/>
    <w:rsid w:val="007757F3"/>
    <w:rsid w:val="007E6AEB"/>
    <w:rsid w:val="008066E8"/>
    <w:rsid w:val="008973EE"/>
    <w:rsid w:val="009634A8"/>
    <w:rsid w:val="00971600"/>
    <w:rsid w:val="009973B4"/>
    <w:rsid w:val="009C28C1"/>
    <w:rsid w:val="009F7EED"/>
    <w:rsid w:val="00AA19B1"/>
    <w:rsid w:val="00AF0AAB"/>
    <w:rsid w:val="00B50ED1"/>
    <w:rsid w:val="00BF597E"/>
    <w:rsid w:val="00C51A36"/>
    <w:rsid w:val="00C55228"/>
    <w:rsid w:val="00CE315A"/>
    <w:rsid w:val="00D06F59"/>
    <w:rsid w:val="00D8388C"/>
    <w:rsid w:val="00E078A4"/>
    <w:rsid w:val="00EB0164"/>
    <w:rsid w:val="00ED0F62"/>
    <w:rsid w:val="00F1142F"/>
    <w:rsid w:val="00F87C86"/>
    <w:rsid w:val="00FC5A98"/>
    <w:rsid w:val="016031D9"/>
    <w:rsid w:val="01700A1F"/>
    <w:rsid w:val="020C77F5"/>
    <w:rsid w:val="0229203F"/>
    <w:rsid w:val="02320294"/>
    <w:rsid w:val="026A761D"/>
    <w:rsid w:val="02AB1909"/>
    <w:rsid w:val="03097F8F"/>
    <w:rsid w:val="03EE3AEF"/>
    <w:rsid w:val="044D3BF2"/>
    <w:rsid w:val="04517DE0"/>
    <w:rsid w:val="049247C8"/>
    <w:rsid w:val="05394A1E"/>
    <w:rsid w:val="0563390F"/>
    <w:rsid w:val="05AB5A66"/>
    <w:rsid w:val="05EE146B"/>
    <w:rsid w:val="06085B28"/>
    <w:rsid w:val="063268E2"/>
    <w:rsid w:val="06592B22"/>
    <w:rsid w:val="06A27700"/>
    <w:rsid w:val="070746B2"/>
    <w:rsid w:val="076734E6"/>
    <w:rsid w:val="07AD06EB"/>
    <w:rsid w:val="08121331"/>
    <w:rsid w:val="083500E5"/>
    <w:rsid w:val="08815595"/>
    <w:rsid w:val="08BF3AED"/>
    <w:rsid w:val="09B67D8F"/>
    <w:rsid w:val="0AEA5DDA"/>
    <w:rsid w:val="0BB53E0B"/>
    <w:rsid w:val="0CA54228"/>
    <w:rsid w:val="0CB71131"/>
    <w:rsid w:val="0CB80D72"/>
    <w:rsid w:val="0DCF5C39"/>
    <w:rsid w:val="0E1556EC"/>
    <w:rsid w:val="0E47569A"/>
    <w:rsid w:val="0E807EAF"/>
    <w:rsid w:val="0E9A3732"/>
    <w:rsid w:val="0EBD645D"/>
    <w:rsid w:val="0ECC1CD0"/>
    <w:rsid w:val="0EED0A6D"/>
    <w:rsid w:val="0F3554A6"/>
    <w:rsid w:val="0F4A24B1"/>
    <w:rsid w:val="0F834948"/>
    <w:rsid w:val="106E4F62"/>
    <w:rsid w:val="108219C2"/>
    <w:rsid w:val="127C0884"/>
    <w:rsid w:val="127E6F4E"/>
    <w:rsid w:val="13070F9C"/>
    <w:rsid w:val="13937400"/>
    <w:rsid w:val="13B32E43"/>
    <w:rsid w:val="13E03628"/>
    <w:rsid w:val="13E21228"/>
    <w:rsid w:val="14083AFA"/>
    <w:rsid w:val="14477BD8"/>
    <w:rsid w:val="14D0194E"/>
    <w:rsid w:val="155F58E9"/>
    <w:rsid w:val="157E6280"/>
    <w:rsid w:val="15EC3A22"/>
    <w:rsid w:val="16405DBE"/>
    <w:rsid w:val="17334766"/>
    <w:rsid w:val="17375D6B"/>
    <w:rsid w:val="174F7EB6"/>
    <w:rsid w:val="1789777E"/>
    <w:rsid w:val="17B9007E"/>
    <w:rsid w:val="17E61249"/>
    <w:rsid w:val="17ED4878"/>
    <w:rsid w:val="183E4AD4"/>
    <w:rsid w:val="185C1D51"/>
    <w:rsid w:val="18761BE8"/>
    <w:rsid w:val="188236BD"/>
    <w:rsid w:val="19144D7A"/>
    <w:rsid w:val="196C16DA"/>
    <w:rsid w:val="197658FE"/>
    <w:rsid w:val="19B746F1"/>
    <w:rsid w:val="19CC0287"/>
    <w:rsid w:val="19CD0B20"/>
    <w:rsid w:val="1A084F58"/>
    <w:rsid w:val="1A1C2983"/>
    <w:rsid w:val="1AC421C4"/>
    <w:rsid w:val="1B0C37B9"/>
    <w:rsid w:val="1B1A539F"/>
    <w:rsid w:val="1B303CC6"/>
    <w:rsid w:val="1C627294"/>
    <w:rsid w:val="1C642030"/>
    <w:rsid w:val="1CD86067"/>
    <w:rsid w:val="1D094C34"/>
    <w:rsid w:val="1D6F2010"/>
    <w:rsid w:val="1ED24569"/>
    <w:rsid w:val="1EED3319"/>
    <w:rsid w:val="1EF17CF7"/>
    <w:rsid w:val="1F310F57"/>
    <w:rsid w:val="205D5AFA"/>
    <w:rsid w:val="20AA6AAB"/>
    <w:rsid w:val="20E91694"/>
    <w:rsid w:val="20F04213"/>
    <w:rsid w:val="20F75AF0"/>
    <w:rsid w:val="21171A1C"/>
    <w:rsid w:val="227F7918"/>
    <w:rsid w:val="22B03105"/>
    <w:rsid w:val="22C76E54"/>
    <w:rsid w:val="23132509"/>
    <w:rsid w:val="23567095"/>
    <w:rsid w:val="23A90D6C"/>
    <w:rsid w:val="267C5B3B"/>
    <w:rsid w:val="26DF0BE0"/>
    <w:rsid w:val="270A0E50"/>
    <w:rsid w:val="279236D1"/>
    <w:rsid w:val="28780890"/>
    <w:rsid w:val="28841C7E"/>
    <w:rsid w:val="2898019B"/>
    <w:rsid w:val="28AF03D1"/>
    <w:rsid w:val="28D43129"/>
    <w:rsid w:val="28DE357E"/>
    <w:rsid w:val="2AEE4149"/>
    <w:rsid w:val="2B2068DF"/>
    <w:rsid w:val="2B336843"/>
    <w:rsid w:val="2B61714B"/>
    <w:rsid w:val="2C3F6B85"/>
    <w:rsid w:val="2C4C70B9"/>
    <w:rsid w:val="2C657F2F"/>
    <w:rsid w:val="2D726C52"/>
    <w:rsid w:val="2E7A25BA"/>
    <w:rsid w:val="2E9477A7"/>
    <w:rsid w:val="2EF72413"/>
    <w:rsid w:val="2F0A30A5"/>
    <w:rsid w:val="2F9E49DE"/>
    <w:rsid w:val="2FA93088"/>
    <w:rsid w:val="2FCA3D2E"/>
    <w:rsid w:val="2FDB118D"/>
    <w:rsid w:val="301503AB"/>
    <w:rsid w:val="30B26641"/>
    <w:rsid w:val="30F11502"/>
    <w:rsid w:val="31A216C2"/>
    <w:rsid w:val="31E7088E"/>
    <w:rsid w:val="325E6175"/>
    <w:rsid w:val="32AB4D7B"/>
    <w:rsid w:val="34182198"/>
    <w:rsid w:val="341F2CF0"/>
    <w:rsid w:val="34FE7B76"/>
    <w:rsid w:val="364D7E25"/>
    <w:rsid w:val="37BC647C"/>
    <w:rsid w:val="37C47C75"/>
    <w:rsid w:val="37F072AB"/>
    <w:rsid w:val="383A5CE5"/>
    <w:rsid w:val="38CC6BF0"/>
    <w:rsid w:val="38D218EE"/>
    <w:rsid w:val="39620650"/>
    <w:rsid w:val="3A8F5907"/>
    <w:rsid w:val="3AFA404A"/>
    <w:rsid w:val="3B4D71AC"/>
    <w:rsid w:val="3B8A40ED"/>
    <w:rsid w:val="3B8C44AE"/>
    <w:rsid w:val="3C2033E1"/>
    <w:rsid w:val="3C923E00"/>
    <w:rsid w:val="3EB55B1E"/>
    <w:rsid w:val="3F5852D2"/>
    <w:rsid w:val="3F924935"/>
    <w:rsid w:val="3FD81520"/>
    <w:rsid w:val="40194BFD"/>
    <w:rsid w:val="40E9016E"/>
    <w:rsid w:val="421B1AE2"/>
    <w:rsid w:val="429F6852"/>
    <w:rsid w:val="43007ABB"/>
    <w:rsid w:val="43596304"/>
    <w:rsid w:val="44086081"/>
    <w:rsid w:val="44801FF5"/>
    <w:rsid w:val="44CE3024"/>
    <w:rsid w:val="44D54B0B"/>
    <w:rsid w:val="44DB3A8D"/>
    <w:rsid w:val="457A5192"/>
    <w:rsid w:val="469D6807"/>
    <w:rsid w:val="48931CBC"/>
    <w:rsid w:val="4922441A"/>
    <w:rsid w:val="4AAE6C5D"/>
    <w:rsid w:val="4AB442D2"/>
    <w:rsid w:val="4AD13D3E"/>
    <w:rsid w:val="4AF15A00"/>
    <w:rsid w:val="4B0C2EE8"/>
    <w:rsid w:val="4B3F3B3E"/>
    <w:rsid w:val="4BE173AE"/>
    <w:rsid w:val="4C292779"/>
    <w:rsid w:val="4C542AFE"/>
    <w:rsid w:val="4DA20616"/>
    <w:rsid w:val="4DD461B7"/>
    <w:rsid w:val="4EA4309E"/>
    <w:rsid w:val="4EDE0A1E"/>
    <w:rsid w:val="4F2E6357"/>
    <w:rsid w:val="4F353343"/>
    <w:rsid w:val="50080A3B"/>
    <w:rsid w:val="50AC4660"/>
    <w:rsid w:val="50B54941"/>
    <w:rsid w:val="50F4061B"/>
    <w:rsid w:val="519A380E"/>
    <w:rsid w:val="527201F3"/>
    <w:rsid w:val="52D034C9"/>
    <w:rsid w:val="53681C67"/>
    <w:rsid w:val="53833895"/>
    <w:rsid w:val="53DB5EEE"/>
    <w:rsid w:val="54E857F9"/>
    <w:rsid w:val="559E18D7"/>
    <w:rsid w:val="55A92C67"/>
    <w:rsid w:val="55D94ABB"/>
    <w:rsid w:val="564B3B4B"/>
    <w:rsid w:val="567A1742"/>
    <w:rsid w:val="5794697E"/>
    <w:rsid w:val="57C261E2"/>
    <w:rsid w:val="58364B3B"/>
    <w:rsid w:val="583D2730"/>
    <w:rsid w:val="59B51302"/>
    <w:rsid w:val="5ACE1865"/>
    <w:rsid w:val="5AD22955"/>
    <w:rsid w:val="5BED5ECF"/>
    <w:rsid w:val="5C074BB5"/>
    <w:rsid w:val="5C324B6E"/>
    <w:rsid w:val="5D661EA7"/>
    <w:rsid w:val="5D7E3152"/>
    <w:rsid w:val="5E1E20EE"/>
    <w:rsid w:val="5E4A2A4D"/>
    <w:rsid w:val="5E650263"/>
    <w:rsid w:val="5EA12B9A"/>
    <w:rsid w:val="5EAF2FF8"/>
    <w:rsid w:val="5EEB373D"/>
    <w:rsid w:val="5F787693"/>
    <w:rsid w:val="5FAC6A84"/>
    <w:rsid w:val="605343A8"/>
    <w:rsid w:val="60AD4CC6"/>
    <w:rsid w:val="611B2B9B"/>
    <w:rsid w:val="622B2A10"/>
    <w:rsid w:val="629A7367"/>
    <w:rsid w:val="62A975E6"/>
    <w:rsid w:val="63525E02"/>
    <w:rsid w:val="635904C6"/>
    <w:rsid w:val="636F085F"/>
    <w:rsid w:val="644F4682"/>
    <w:rsid w:val="64636355"/>
    <w:rsid w:val="64C93330"/>
    <w:rsid w:val="651264CF"/>
    <w:rsid w:val="65DF0C14"/>
    <w:rsid w:val="65EC26E5"/>
    <w:rsid w:val="67796626"/>
    <w:rsid w:val="67C765B2"/>
    <w:rsid w:val="67DA78D8"/>
    <w:rsid w:val="68890868"/>
    <w:rsid w:val="68CB25BD"/>
    <w:rsid w:val="692010FA"/>
    <w:rsid w:val="699957B8"/>
    <w:rsid w:val="69BD7669"/>
    <w:rsid w:val="6A9502DF"/>
    <w:rsid w:val="6B480A94"/>
    <w:rsid w:val="6B4C31AC"/>
    <w:rsid w:val="6B7733B3"/>
    <w:rsid w:val="6BBE2D00"/>
    <w:rsid w:val="6BC81E26"/>
    <w:rsid w:val="6C063ACC"/>
    <w:rsid w:val="6C8068EF"/>
    <w:rsid w:val="6D191EDF"/>
    <w:rsid w:val="6D6B3AF8"/>
    <w:rsid w:val="6D925C6C"/>
    <w:rsid w:val="6DC4767F"/>
    <w:rsid w:val="6E025ED1"/>
    <w:rsid w:val="6E373AB8"/>
    <w:rsid w:val="6E4F1F64"/>
    <w:rsid w:val="6E771EC7"/>
    <w:rsid w:val="6EE23F88"/>
    <w:rsid w:val="6F0E1A81"/>
    <w:rsid w:val="6F1D7201"/>
    <w:rsid w:val="701B3049"/>
    <w:rsid w:val="70BD4579"/>
    <w:rsid w:val="7106307D"/>
    <w:rsid w:val="711A2EB2"/>
    <w:rsid w:val="71431F5E"/>
    <w:rsid w:val="71772E88"/>
    <w:rsid w:val="71A54DCA"/>
    <w:rsid w:val="721262CF"/>
    <w:rsid w:val="72586A8C"/>
    <w:rsid w:val="72DF57EB"/>
    <w:rsid w:val="736B0691"/>
    <w:rsid w:val="746E2276"/>
    <w:rsid w:val="74A06F77"/>
    <w:rsid w:val="74E67290"/>
    <w:rsid w:val="7505395A"/>
    <w:rsid w:val="75D83D48"/>
    <w:rsid w:val="764A3BAD"/>
    <w:rsid w:val="76A61C78"/>
    <w:rsid w:val="77443805"/>
    <w:rsid w:val="77634AF4"/>
    <w:rsid w:val="776569B7"/>
    <w:rsid w:val="79D03FA2"/>
    <w:rsid w:val="79F644BC"/>
    <w:rsid w:val="7A4D0A5B"/>
    <w:rsid w:val="7A715CAF"/>
    <w:rsid w:val="7AB739AF"/>
    <w:rsid w:val="7ABE5BA4"/>
    <w:rsid w:val="7B110D85"/>
    <w:rsid w:val="7B132209"/>
    <w:rsid w:val="7BFB5444"/>
    <w:rsid w:val="7C0A479B"/>
    <w:rsid w:val="7C0D2B38"/>
    <w:rsid w:val="7CD56D1D"/>
    <w:rsid w:val="7CEA10C5"/>
    <w:rsid w:val="7D58139C"/>
    <w:rsid w:val="7DC4606F"/>
    <w:rsid w:val="7E0C57DA"/>
    <w:rsid w:val="7E522F2D"/>
    <w:rsid w:val="7E5B6366"/>
    <w:rsid w:val="7E7A730D"/>
    <w:rsid w:val="7E826134"/>
    <w:rsid w:val="7F855C0E"/>
    <w:rsid w:val="7FB877D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ody Text Indent"/>
    <w:basedOn w:val="1"/>
    <w:qFormat/>
    <w:uiPriority w:val="0"/>
    <w:pPr>
      <w:ind w:firstLine="560" w:firstLineChars="200"/>
    </w:pPr>
    <w:rPr>
      <w:rFonts w:ascii="宋体" w:hAnsi="宋体"/>
      <w:color w:val="FF0000"/>
      <w:sz w:val="28"/>
    </w:rPr>
  </w:style>
  <w:style w:type="paragraph" w:styleId="4">
    <w:name w:val="Balloon Text"/>
    <w:basedOn w:val="1"/>
    <w:link w:val="12"/>
    <w:semiHidden/>
    <w:unhideWhenUsed/>
    <w:qFormat/>
    <w:uiPriority w:val="99"/>
    <w:rPr>
      <w:sz w:val="18"/>
      <w:szCs w:val="18"/>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Body Text First Indent 2"/>
    <w:basedOn w:val="3"/>
    <w:qFormat/>
    <w:uiPriority w:val="0"/>
    <w:pPr>
      <w:ind w:firstLine="420"/>
      <w:jc w:val="left"/>
    </w:pPr>
    <w:rPr>
      <w:rFonts w:eastAsia="仿宋_GB2312"/>
      <w:color w:val="000000"/>
    </w:rPr>
  </w:style>
  <w:style w:type="character" w:customStyle="1" w:styleId="10">
    <w:name w:val="页眉 字符"/>
    <w:basedOn w:val="9"/>
    <w:link w:val="6"/>
    <w:qFormat/>
    <w:uiPriority w:val="99"/>
    <w:rPr>
      <w:rFonts w:ascii="Times New Roman" w:hAnsi="Times New Roman" w:eastAsia="宋体" w:cs="Times New Roman"/>
      <w:sz w:val="18"/>
      <w:szCs w:val="18"/>
    </w:rPr>
  </w:style>
  <w:style w:type="character" w:customStyle="1" w:styleId="11">
    <w:name w:val="页脚 字符"/>
    <w:basedOn w:val="9"/>
    <w:link w:val="5"/>
    <w:qFormat/>
    <w:uiPriority w:val="99"/>
    <w:rPr>
      <w:rFonts w:ascii="Times New Roman" w:hAnsi="Times New Roman" w:eastAsia="宋体" w:cs="Times New Roman"/>
      <w:sz w:val="18"/>
      <w:szCs w:val="18"/>
    </w:rPr>
  </w:style>
  <w:style w:type="character" w:customStyle="1" w:styleId="12">
    <w:name w:val="批注框文本 字符"/>
    <w:basedOn w:val="9"/>
    <w:link w:val="4"/>
    <w:semiHidden/>
    <w:qFormat/>
    <w:uiPriority w:val="99"/>
    <w:rPr>
      <w:rFonts w:ascii="Times New Roman" w:hAnsi="Times New Roman" w:eastAsia="宋体" w:cs="Times New Roman"/>
      <w:sz w:val="18"/>
      <w:szCs w:val="18"/>
    </w:rPr>
  </w:style>
  <w:style w:type="character" w:customStyle="1" w:styleId="13">
    <w:name w:val="Char Char1"/>
    <w:qFormat/>
    <w:locked/>
    <w:uiPriority w:val="0"/>
    <w:rPr>
      <w:rFonts w:hint="eastAsia" w:ascii="宋体" w:hAnsi="Courier New" w:eastAsia="宋体"/>
      <w:kern w:val="2"/>
      <w:sz w:val="21"/>
      <w:lang w:val="en-US" w:eastAsia="zh-CN" w:bidi="ar-SA"/>
    </w:rPr>
  </w:style>
  <w:style w:type="paragraph" w:customStyle="1" w:styleId="14">
    <w:name w:val="_Style 2"/>
    <w:basedOn w:val="1"/>
    <w:qFormat/>
    <w:uiPriority w:val="34"/>
    <w:pPr>
      <w:widowControl/>
      <w:ind w:firstLine="420" w:firstLineChars="200"/>
      <w:jc w:val="left"/>
    </w:pPr>
    <w:rPr>
      <w:kern w:val="0"/>
      <w:sz w:val="20"/>
      <w:lang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902</Words>
  <Characters>5145</Characters>
  <Lines>42</Lines>
  <Paragraphs>12</Paragraphs>
  <TotalTime>2</TotalTime>
  <ScaleCrop>false</ScaleCrop>
  <LinksUpToDate>false</LinksUpToDate>
  <CharactersWithSpaces>6035</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86136</cp:lastModifiedBy>
  <dcterms:modified xsi:type="dcterms:W3CDTF">2020-11-04T13:08:39Z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