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          主管领导：姜子炎   管理者代表：钱科</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20</w:t>
            </w:r>
            <w:r>
              <w:rPr>
                <w:rFonts w:hint="eastAsia" w:ascii="宋体" w:hAnsi="宋体" w:cs="宋体"/>
                <w:szCs w:val="21"/>
              </w:rPr>
              <w:t>年1</w:t>
            </w:r>
            <w:r>
              <w:rPr>
                <w:rFonts w:ascii="宋体" w:hAnsi="宋体" w:cs="宋体"/>
                <w:szCs w:val="21"/>
              </w:rPr>
              <w:t>1</w:t>
            </w:r>
            <w:r>
              <w:rPr>
                <w:rFonts w:hint="eastAsia" w:ascii="宋体" w:hAnsi="宋体" w:cs="宋体"/>
                <w:szCs w:val="21"/>
              </w:rPr>
              <w:t>月0</w:t>
            </w:r>
            <w:r>
              <w:rPr>
                <w:rFonts w:ascii="宋体" w:hAnsi="宋体" w:cs="宋体"/>
                <w:szCs w:val="21"/>
              </w:rPr>
              <w:t>1</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w:t>
            </w:r>
            <w:r>
              <w:rPr>
                <w:rFonts w:ascii="宋体" w:hAnsi="宋体" w:cs="宋体"/>
                <w:szCs w:val="21"/>
              </w:rPr>
              <w:t>QES:4.1/4.3/5.4/5.2/6.2/9.3/7.1/9.1.1</w:t>
            </w:r>
          </w:p>
          <w:p>
            <w:pPr>
              <w:rPr>
                <w:rFonts w:ascii="宋体" w:hAnsi="宋体" w:cs="宋体"/>
                <w:szCs w:val="21"/>
              </w:rPr>
            </w:pP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4.1</w:t>
            </w:r>
          </w:p>
          <w:p>
            <w:pPr>
              <w:pStyle w:val="2"/>
            </w:pPr>
          </w:p>
        </w:tc>
        <w:tc>
          <w:tcPr>
            <w:tcW w:w="10943" w:type="dxa"/>
            <w:vAlign w:val="center"/>
          </w:tcPr>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rFonts w:ascii="宋体" w:hAnsi="宋体"/>
                <w:szCs w:val="21"/>
              </w:rPr>
            </w:pPr>
            <w:r>
              <w:rPr>
                <w:rFonts w:hint="eastAsia" w:ascii="宋体" w:hAnsi="宋体"/>
                <w:szCs w:val="21"/>
              </w:rPr>
              <w:t>Q：智能化控制系统（建筑行业、智慧城市领域）开发，智能化控制器（建筑行业、智慧城市领域）销售</w:t>
            </w:r>
          </w:p>
          <w:p>
            <w:pPr>
              <w:rPr>
                <w:rFonts w:ascii="宋体" w:hAnsi="宋体"/>
                <w:szCs w:val="21"/>
              </w:rPr>
            </w:pPr>
            <w:r>
              <w:rPr>
                <w:rFonts w:hint="eastAsia" w:ascii="宋体" w:hAnsi="宋体"/>
                <w:szCs w:val="21"/>
              </w:rPr>
              <w:t>E：智能化控制系统（建筑行业、智慧城市领域）开发，智能化控制器（建筑行业、智慧城市领域）销售所涉及的相关环境管理活动</w:t>
            </w:r>
          </w:p>
          <w:p>
            <w:pPr>
              <w:rPr>
                <w:rFonts w:ascii="宋体" w:hAnsi="宋体"/>
                <w:szCs w:val="21"/>
              </w:rPr>
            </w:pPr>
            <w:r>
              <w:rPr>
                <w:rFonts w:hint="eastAsia" w:ascii="宋体" w:hAnsi="宋体"/>
                <w:szCs w:val="21"/>
              </w:rPr>
              <w:t>O：智能化控制系统（建筑行业、智慧城市领域）开发，智能化控制器（建筑行业、智慧城市领域）销售所涉及的相关职业健康安全管理活动</w:t>
            </w:r>
          </w:p>
          <w:p>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hAnsi="宋体" w:cs="宋体"/>
                <w:szCs w:val="21"/>
              </w:rPr>
            </w:pPr>
            <w:r>
              <w:rPr>
                <w:rFonts w:ascii="宋体" w:hAns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w:t>
            </w:r>
            <w:r>
              <w:rPr>
                <w:rFonts w:ascii="宋体" w:hAnsi="宋体" w:cs="宋体"/>
                <w:szCs w:val="21"/>
              </w:rPr>
              <w:t>—</w:t>
            </w:r>
            <w:r>
              <w:rPr>
                <w:rFonts w:hint="eastAsia" w:ascii="宋体" w:hAnsi="宋体" w:cs="宋体"/>
                <w:szCs w:val="21"/>
              </w:rPr>
              <w:t>黄姝姝</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color w:val="000000"/>
                <w:szCs w:val="21"/>
              </w:rPr>
            </w:pPr>
            <w:r>
              <w:rPr>
                <w:rFonts w:hint="eastAsia"/>
                <w:color w:val="000000"/>
                <w:szCs w:val="21"/>
              </w:rPr>
              <w:t>以顾客为根，优质诚信，展示专业品牌</w:t>
            </w:r>
          </w:p>
          <w:p>
            <w:pPr>
              <w:rPr>
                <w:color w:val="000000"/>
                <w:szCs w:val="21"/>
              </w:rPr>
            </w:pPr>
            <w:r>
              <w:rPr>
                <w:rFonts w:hint="eastAsia"/>
                <w:color w:val="000000"/>
                <w:szCs w:val="21"/>
              </w:rPr>
              <w:t>以环境为友，环保节能，坚持持续改进</w:t>
            </w:r>
          </w:p>
          <w:p>
            <w:pPr>
              <w:spacing w:line="280" w:lineRule="exact"/>
              <w:rPr>
                <w:color w:val="000000"/>
                <w:szCs w:val="21"/>
              </w:rPr>
            </w:pPr>
            <w:r>
              <w:rPr>
                <w:rFonts w:hint="eastAsia"/>
                <w:color w:val="000000"/>
                <w:szCs w:val="21"/>
              </w:rPr>
              <w:t>以员工为本，健康和谐，共享快乐工作</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公司以质量、环境、职业健康安全标准为基础，结合公司实际特制定管理方针。与姜子炎先生进行交谈，姜先生对方针内涵的理解较深刻。方针能为制定目标提供框架，方针基本符合标准的要求。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left="420" w:leftChars="200"/>
              <w:rPr>
                <w:rFonts w:ascii="宋体" w:hAnsi="宋体" w:cs="宋体"/>
                <w:szCs w:val="21"/>
              </w:rPr>
            </w:pPr>
            <w:r>
              <w:rPr>
                <w:rFonts w:hint="eastAsia" w:ascii="宋体" w:hAnsi="宋体" w:cs="宋体"/>
                <w:szCs w:val="21"/>
              </w:rPr>
              <w:t>管理目标涉及质量、环境、职业健康安全，具体为：</w:t>
            </w:r>
          </w:p>
          <w:p>
            <w:pPr>
              <w:widowControl/>
              <w:autoSpaceDE w:val="0"/>
              <w:autoSpaceDN w:val="0"/>
              <w:adjustRightInd w:val="0"/>
              <w:spacing w:after="0" w:line="240" w:lineRule="auto"/>
              <w:jc w:val="left"/>
              <w:rPr>
                <w:rFonts w:ascii="宋体" w:cs="宋体"/>
                <w:kern w:val="0"/>
                <w:sz w:val="24"/>
                <w:szCs w:val="24"/>
                <w:lang w:val="en-GB"/>
              </w:rPr>
            </w:pPr>
            <w:r>
              <w:rPr>
                <w:rFonts w:ascii="宋体" w:cs="宋体"/>
                <w:kern w:val="0"/>
                <w:sz w:val="24"/>
                <w:szCs w:val="24"/>
                <w:lang w:val="en-GB"/>
              </w:rPr>
              <w:t>1)</w:t>
            </w:r>
            <w:r>
              <w:rPr>
                <w:rFonts w:hint="eastAsia" w:ascii="宋体" w:cs="宋体"/>
                <w:kern w:val="0"/>
                <w:sz w:val="24"/>
                <w:szCs w:val="24"/>
                <w:lang w:val="en-GB"/>
              </w:rPr>
              <w:t>质量目标</w:t>
            </w:r>
          </w:p>
          <w:p>
            <w:pPr>
              <w:widowControl/>
              <w:autoSpaceDE w:val="0"/>
              <w:autoSpaceDN w:val="0"/>
              <w:adjustRightInd w:val="0"/>
              <w:spacing w:after="0" w:line="240" w:lineRule="auto"/>
              <w:jc w:val="left"/>
              <w:rPr>
                <w:rFonts w:ascii="宋体" w:cs="宋体"/>
                <w:kern w:val="0"/>
                <w:sz w:val="24"/>
                <w:szCs w:val="24"/>
                <w:lang w:val="en-GB"/>
              </w:rPr>
            </w:pPr>
            <w:r>
              <w:rPr>
                <w:rFonts w:ascii="宋体" w:cs="宋体"/>
                <w:kern w:val="0"/>
                <w:sz w:val="24"/>
                <w:szCs w:val="24"/>
                <w:lang w:val="en-GB"/>
              </w:rPr>
              <w:t>a)</w:t>
            </w:r>
            <w:r>
              <w:rPr>
                <w:rFonts w:hint="eastAsia" w:ascii="宋体" w:hAnsi="宋体" w:cs="宋体"/>
                <w:szCs w:val="21"/>
              </w:rPr>
              <w:t>销售产品验收合格率达到</w:t>
            </w:r>
            <w:r>
              <w:rPr>
                <w:rFonts w:ascii="宋体" w:hAnsi="宋体" w:cs="宋体"/>
                <w:szCs w:val="21"/>
              </w:rPr>
              <w:t>100%</w:t>
            </w:r>
            <w:r>
              <w:rPr>
                <w:rFonts w:hint="eastAsia" w:ascii="宋体" w:hAnsi="宋体" w:cs="宋体"/>
                <w:szCs w:val="21"/>
              </w:rPr>
              <w:t>；</w:t>
            </w:r>
          </w:p>
          <w:p>
            <w:pPr>
              <w:widowControl/>
              <w:autoSpaceDE w:val="0"/>
              <w:autoSpaceDN w:val="0"/>
              <w:adjustRightInd w:val="0"/>
              <w:spacing w:after="0" w:line="240" w:lineRule="auto"/>
              <w:jc w:val="left"/>
              <w:rPr>
                <w:rFonts w:ascii="宋体" w:hAnsi="宋体" w:cs="宋体"/>
                <w:szCs w:val="21"/>
              </w:rPr>
            </w:pPr>
            <w:r>
              <w:rPr>
                <w:rFonts w:ascii="宋体" w:cs="宋体"/>
                <w:kern w:val="0"/>
                <w:sz w:val="24"/>
                <w:szCs w:val="24"/>
                <w:lang w:val="en-GB"/>
              </w:rPr>
              <w:t>b)</w:t>
            </w:r>
            <w:r>
              <w:rPr>
                <w:rFonts w:hint="eastAsia" w:ascii="宋体" w:hAnsi="宋体" w:cs="宋体"/>
                <w:szCs w:val="21"/>
              </w:rPr>
              <w:t>设计开发一次交验合格率</w:t>
            </w:r>
            <w:r>
              <w:rPr>
                <w:rFonts w:ascii="宋体" w:hAnsi="宋体" w:cs="宋体"/>
                <w:szCs w:val="21"/>
              </w:rPr>
              <w:t>98%</w:t>
            </w:r>
            <w:r>
              <w:rPr>
                <w:rFonts w:hint="eastAsia" w:ascii="宋体" w:hAnsi="宋体" w:cs="宋体"/>
                <w:szCs w:val="21"/>
              </w:rPr>
              <w:t>；</w:t>
            </w:r>
          </w:p>
          <w:p>
            <w:pPr>
              <w:widowControl/>
              <w:autoSpaceDE w:val="0"/>
              <w:autoSpaceDN w:val="0"/>
              <w:adjustRightInd w:val="0"/>
              <w:spacing w:after="0" w:line="240" w:lineRule="auto"/>
              <w:jc w:val="left"/>
              <w:rPr>
                <w:rFonts w:ascii="宋体" w:hAnsi="宋体" w:cs="宋体"/>
                <w:szCs w:val="21"/>
              </w:rPr>
            </w:pPr>
            <w:r>
              <w:rPr>
                <w:rFonts w:ascii="宋体" w:hAnsi="宋体" w:cs="宋体"/>
                <w:szCs w:val="21"/>
              </w:rPr>
              <w:t>c)</w:t>
            </w:r>
            <w:r>
              <w:rPr>
                <w:rFonts w:hint="eastAsia" w:ascii="宋体" w:hAnsi="宋体" w:cs="宋体"/>
                <w:szCs w:val="21"/>
              </w:rPr>
              <w:t>合同履约率达到</w:t>
            </w:r>
            <w:r>
              <w:rPr>
                <w:rFonts w:ascii="宋体" w:hAnsi="宋体" w:cs="宋体"/>
                <w:szCs w:val="21"/>
              </w:rPr>
              <w:t>100%</w:t>
            </w:r>
            <w:r>
              <w:rPr>
                <w:rFonts w:hint="eastAsia" w:ascii="宋体" w:hAnsi="宋体" w:cs="宋体"/>
                <w:szCs w:val="21"/>
              </w:rPr>
              <w:t>；</w:t>
            </w:r>
          </w:p>
          <w:p>
            <w:pPr>
              <w:widowControl/>
              <w:autoSpaceDE w:val="0"/>
              <w:autoSpaceDN w:val="0"/>
              <w:adjustRightInd w:val="0"/>
              <w:spacing w:after="0" w:line="240" w:lineRule="auto"/>
              <w:jc w:val="left"/>
              <w:rPr>
                <w:rFonts w:ascii="宋体" w:hAnsi="宋体" w:cs="宋体"/>
                <w:szCs w:val="21"/>
              </w:rPr>
            </w:pPr>
            <w:r>
              <w:rPr>
                <w:rFonts w:ascii="宋体" w:hAnsi="宋体" w:cs="宋体"/>
                <w:szCs w:val="21"/>
              </w:rPr>
              <w:t>d)</w:t>
            </w:r>
            <w:r>
              <w:rPr>
                <w:rFonts w:hint="eastAsia" w:ascii="宋体" w:hAnsi="宋体" w:cs="宋体"/>
                <w:szCs w:val="21"/>
              </w:rPr>
              <w:t>顾客满意率≥</w:t>
            </w:r>
            <w:r>
              <w:rPr>
                <w:rFonts w:ascii="宋体" w:hAnsi="宋体" w:cs="宋体"/>
                <w:szCs w:val="21"/>
              </w:rPr>
              <w:t>95%</w:t>
            </w:r>
            <w:r>
              <w:rPr>
                <w:rFonts w:hint="eastAsia" w:ascii="宋体" w:hAnsi="宋体" w:cs="宋体"/>
                <w:szCs w:val="21"/>
              </w:rPr>
              <w:t>。</w:t>
            </w:r>
          </w:p>
          <w:p>
            <w:pPr>
              <w:widowControl/>
              <w:autoSpaceDE w:val="0"/>
              <w:autoSpaceDN w:val="0"/>
              <w:adjustRightInd w:val="0"/>
              <w:spacing w:after="0" w:line="240" w:lineRule="auto"/>
              <w:jc w:val="left"/>
              <w:rPr>
                <w:rFonts w:ascii="宋体" w:cs="宋体"/>
                <w:kern w:val="0"/>
                <w:sz w:val="24"/>
                <w:szCs w:val="24"/>
                <w:lang w:val="en-GB"/>
              </w:rPr>
            </w:pPr>
            <w:r>
              <w:rPr>
                <w:rFonts w:ascii="宋体" w:cs="宋体"/>
                <w:kern w:val="0"/>
                <w:sz w:val="24"/>
                <w:szCs w:val="24"/>
                <w:lang w:val="en-GB"/>
              </w:rPr>
              <w:t>2)</w:t>
            </w:r>
            <w:r>
              <w:rPr>
                <w:rFonts w:hint="eastAsia" w:ascii="宋体" w:cs="宋体"/>
                <w:kern w:val="0"/>
                <w:sz w:val="24"/>
                <w:szCs w:val="24"/>
                <w:lang w:val="en-GB"/>
              </w:rPr>
              <w:t>环境目标</w:t>
            </w:r>
          </w:p>
          <w:p>
            <w:pPr>
              <w:widowControl/>
              <w:autoSpaceDE w:val="0"/>
              <w:autoSpaceDN w:val="0"/>
              <w:adjustRightInd w:val="0"/>
              <w:spacing w:after="0" w:line="240" w:lineRule="auto"/>
              <w:jc w:val="left"/>
              <w:rPr>
                <w:rFonts w:ascii="宋体" w:hAnsi="宋体" w:cs="宋体"/>
                <w:szCs w:val="21"/>
              </w:rPr>
            </w:pPr>
            <w:r>
              <w:rPr>
                <w:rFonts w:ascii="宋体" w:cs="宋体"/>
                <w:kern w:val="0"/>
                <w:sz w:val="24"/>
                <w:szCs w:val="24"/>
                <w:lang w:val="en-GB"/>
              </w:rPr>
              <w:t>a)</w:t>
            </w:r>
            <w:r>
              <w:rPr>
                <w:rFonts w:hint="eastAsia" w:ascii="宋体" w:hAnsi="宋体" w:cs="宋体"/>
                <w:szCs w:val="21"/>
              </w:rPr>
              <w:t>节能降耗，用水用电比预算节约</w:t>
            </w:r>
            <w:r>
              <w:rPr>
                <w:rFonts w:ascii="宋体" w:hAnsi="宋体" w:cs="宋体"/>
                <w:szCs w:val="21"/>
              </w:rPr>
              <w:t>1.5%</w:t>
            </w:r>
            <w:r>
              <w:rPr>
                <w:rFonts w:hint="eastAsia" w:ascii="宋体" w:hAnsi="宋体" w:cs="宋体"/>
                <w:szCs w:val="21"/>
              </w:rPr>
              <w:t>；</w:t>
            </w:r>
          </w:p>
          <w:p>
            <w:pPr>
              <w:widowControl/>
              <w:autoSpaceDE w:val="0"/>
              <w:autoSpaceDN w:val="0"/>
              <w:adjustRightInd w:val="0"/>
              <w:spacing w:after="0" w:line="240" w:lineRule="auto"/>
              <w:jc w:val="left"/>
              <w:rPr>
                <w:rFonts w:ascii="宋体" w:hAnsi="宋体" w:cs="宋体"/>
                <w:szCs w:val="21"/>
              </w:rPr>
            </w:pPr>
            <w:r>
              <w:rPr>
                <w:rFonts w:ascii="宋体" w:hAnsi="宋体" w:cs="宋体"/>
                <w:szCs w:val="21"/>
              </w:rPr>
              <w:t>b)</w:t>
            </w:r>
            <w:r>
              <w:rPr>
                <w:rFonts w:hint="eastAsia" w:ascii="宋体" w:hAnsi="宋体" w:cs="宋体"/>
                <w:szCs w:val="21"/>
              </w:rPr>
              <w:t>固体废弃物实现</w:t>
            </w:r>
            <w:r>
              <w:rPr>
                <w:rFonts w:ascii="宋体" w:hAnsi="宋体" w:cs="宋体"/>
                <w:szCs w:val="21"/>
              </w:rPr>
              <w:t>100%</w:t>
            </w:r>
            <w:r>
              <w:rPr>
                <w:rFonts w:hint="eastAsia" w:ascii="宋体" w:hAnsi="宋体" w:cs="宋体"/>
                <w:szCs w:val="21"/>
              </w:rPr>
              <w:t>分类管理。</w:t>
            </w:r>
          </w:p>
          <w:p>
            <w:pPr>
              <w:widowControl/>
              <w:autoSpaceDE w:val="0"/>
              <w:autoSpaceDN w:val="0"/>
              <w:adjustRightInd w:val="0"/>
              <w:spacing w:after="0" w:line="240" w:lineRule="auto"/>
              <w:jc w:val="left"/>
              <w:rPr>
                <w:rFonts w:ascii="宋体" w:cs="宋体"/>
                <w:kern w:val="0"/>
                <w:sz w:val="24"/>
                <w:szCs w:val="24"/>
                <w:lang w:val="en-GB"/>
              </w:rPr>
            </w:pPr>
            <w:r>
              <w:rPr>
                <w:rFonts w:ascii="宋体" w:cs="宋体"/>
                <w:kern w:val="0"/>
                <w:sz w:val="24"/>
                <w:szCs w:val="24"/>
                <w:lang w:val="en-GB"/>
              </w:rPr>
              <w:t>3)</w:t>
            </w:r>
            <w:r>
              <w:rPr>
                <w:rFonts w:hint="eastAsia" w:ascii="宋体" w:cs="宋体"/>
                <w:kern w:val="0"/>
                <w:sz w:val="24"/>
                <w:szCs w:val="24"/>
                <w:lang w:val="en-GB"/>
              </w:rPr>
              <w:t>职业健康安全目标</w:t>
            </w:r>
          </w:p>
          <w:p>
            <w:pPr>
              <w:widowControl/>
              <w:autoSpaceDE w:val="0"/>
              <w:autoSpaceDN w:val="0"/>
              <w:adjustRightInd w:val="0"/>
              <w:spacing w:after="0" w:line="240" w:lineRule="auto"/>
              <w:jc w:val="left"/>
              <w:rPr>
                <w:rFonts w:ascii="宋体" w:hAnsi="宋体" w:cs="宋体"/>
                <w:szCs w:val="21"/>
              </w:rPr>
            </w:pPr>
            <w:r>
              <w:rPr>
                <w:rFonts w:ascii="宋体" w:cs="宋体"/>
                <w:kern w:val="0"/>
                <w:sz w:val="24"/>
                <w:szCs w:val="24"/>
                <w:lang w:val="en-GB"/>
              </w:rPr>
              <w:t>a)</w:t>
            </w:r>
            <w:r>
              <w:rPr>
                <w:rFonts w:hint="eastAsia" w:ascii="宋体" w:hAnsi="宋体" w:cs="宋体"/>
                <w:szCs w:val="21"/>
              </w:rPr>
              <w:t>火灾次数为</w:t>
            </w:r>
            <w:r>
              <w:rPr>
                <w:rFonts w:ascii="宋体" w:hAnsi="宋体" w:cs="宋体"/>
                <w:szCs w:val="21"/>
              </w:rPr>
              <w:t>0</w:t>
            </w:r>
            <w:r>
              <w:rPr>
                <w:rFonts w:hint="eastAsia" w:ascii="宋体" w:hAnsi="宋体" w:cs="宋体"/>
                <w:szCs w:val="21"/>
              </w:rPr>
              <w:t>；</w:t>
            </w:r>
          </w:p>
          <w:p>
            <w:pPr>
              <w:widowControl/>
              <w:autoSpaceDE w:val="0"/>
              <w:autoSpaceDN w:val="0"/>
              <w:adjustRightInd w:val="0"/>
              <w:spacing w:after="0" w:line="240" w:lineRule="auto"/>
              <w:jc w:val="left"/>
              <w:rPr>
                <w:rFonts w:ascii="宋体" w:hAnsi="宋体" w:cs="宋体"/>
                <w:szCs w:val="21"/>
              </w:rPr>
            </w:pPr>
            <w:r>
              <w:rPr>
                <w:rFonts w:ascii="宋体" w:hAnsi="宋体" w:cs="宋体"/>
                <w:szCs w:val="21"/>
              </w:rPr>
              <w:t>b)</w:t>
            </w:r>
            <w:r>
              <w:rPr>
                <w:rFonts w:hint="eastAsia" w:ascii="宋体" w:hAnsi="宋体" w:cs="宋体"/>
                <w:szCs w:val="21"/>
              </w:rPr>
              <w:t>触电事故为</w:t>
            </w:r>
            <w:r>
              <w:rPr>
                <w:rFonts w:ascii="宋体" w:hAnsi="宋体" w:cs="宋体"/>
                <w:szCs w:val="21"/>
              </w:rPr>
              <w:t>0</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b/>
                <w:szCs w:val="21"/>
              </w:rPr>
              <w:t xml:space="preserve"> </w:t>
            </w: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审核：钱科   批准：姜子炎</w:t>
            </w:r>
          </w:p>
          <w:p>
            <w:pPr>
              <w:spacing w:line="280" w:lineRule="exact"/>
              <w:ind w:firstLine="420" w:firstLineChars="200"/>
              <w:rPr>
                <w:rFonts w:ascii="宋体" w:hAnsi="宋体" w:cs="宋体"/>
                <w:kern w:val="0"/>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查公司配备的人力资源，公司总人数26人.</w:t>
            </w:r>
          </w:p>
          <w:p>
            <w:pPr>
              <w:spacing w:line="280" w:lineRule="exact"/>
              <w:ind w:firstLine="420" w:firstLineChars="200"/>
              <w:rPr>
                <w:rFonts w:ascii="宋体" w:hAnsi="宋体" w:cs="宋体"/>
                <w:kern w:val="0"/>
                <w:szCs w:val="21"/>
              </w:rPr>
            </w:pPr>
            <w:r>
              <w:rPr>
                <w:rFonts w:hint="eastAsia" w:ascii="宋体" w:hAnsi="宋体" w:cs="宋体"/>
                <w:szCs w:val="21"/>
              </w:rPr>
              <w:t>基础设施：台式机笔记本电脑、打印机等设施等，规范文件、资金等必要的资源，能够持续满足顾客需求和管理体系改进的需要。</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公司编制了服务质量检查与考评程序LY/CX-08-2020/A，对智能化控制系统的质量特性进行监视和测量，以验证其符合要求的程度，确保服务符合要求。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环境和职业健康安全运行管理检查情况：抽查2020.</w:t>
            </w:r>
            <w:r>
              <w:rPr>
                <w:rFonts w:asciiTheme="minorEastAsia" w:hAnsiTheme="minorEastAsia" w:eastAsiaTheme="minorEastAsia" w:cstheme="minorEastAsia"/>
                <w:szCs w:val="21"/>
              </w:rPr>
              <w:t>10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09</w:t>
            </w:r>
            <w:r>
              <w:rPr>
                <w:rFonts w:hint="eastAsia" w:asciiTheme="minorEastAsia" w:hAnsiTheme="minorEastAsia" w:eastAsiaTheme="minorEastAsia" w:cstheme="minorEastAsia"/>
                <w:szCs w:val="21"/>
              </w:rPr>
              <w:t>管理检查记录，主控部门：综合部，检查人：田乐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pStyle w:val="2"/>
            </w:pPr>
            <w:r>
              <w:rPr>
                <w:rFonts w:hint="eastAsia" w:asciiTheme="minorEastAsia" w:hAnsiTheme="minorEastAsia" w:eastAsiaTheme="minorEastAsia" w:cstheme="minorEastAsia"/>
                <w:bCs w:val="0"/>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公司编制并实施《管理评审程序》，规定管理评审每年进行一次，由姜子炎</w:t>
            </w:r>
            <w:r>
              <w:rPr>
                <w:rFonts w:hint="eastAsia" w:ascii="宋体" w:hAnsi="宋体"/>
                <w:szCs w:val="21"/>
              </w:rPr>
              <w:t>总经理</w:t>
            </w:r>
            <w:r>
              <w:rPr>
                <w:rFonts w:hint="eastAsia"/>
              </w:rPr>
              <w:t>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pPr>
            <w:r>
              <w:rPr>
                <w:rFonts w:hint="eastAsia"/>
              </w:rPr>
              <w:t>1.管理评审计划</w:t>
            </w:r>
          </w:p>
          <w:p>
            <w:pPr>
              <w:spacing w:line="280" w:lineRule="exact"/>
              <w:ind w:firstLine="420" w:firstLineChars="200"/>
            </w:pPr>
            <w:r>
              <w:rPr>
                <w:rFonts w:hint="eastAsia"/>
              </w:rPr>
              <w:t>评审时间：计划20</w:t>
            </w:r>
            <w:r>
              <w:t>20</w:t>
            </w:r>
            <w:r>
              <w:rPr>
                <w:rFonts w:hint="eastAsia"/>
              </w:rPr>
              <w:t>年0</w:t>
            </w:r>
            <w:r>
              <w:t>9</w:t>
            </w:r>
            <w:r>
              <w:rPr>
                <w:rFonts w:hint="eastAsia"/>
              </w:rPr>
              <w:t>月2</w:t>
            </w:r>
            <w:r>
              <w:t>9</w:t>
            </w:r>
            <w:r>
              <w:rPr>
                <w:rFonts w:hint="eastAsia"/>
              </w:rPr>
              <w:t>日进行，初审无间隔要求，评审方式：会议评审， 拟稿综合部  ，签发：姜子炎，参加人员包括公司总经理、管理者代表、各部门负责人，计划中明确了评审内容和资料准备要求。</w:t>
            </w:r>
          </w:p>
          <w:p>
            <w:pPr>
              <w:spacing w:line="280" w:lineRule="exact"/>
            </w:pPr>
            <w:r>
              <w:rPr>
                <w:rFonts w:hint="eastAsia"/>
              </w:rPr>
              <w:t>2.管理评审会议记录</w:t>
            </w:r>
          </w:p>
          <w:p>
            <w:pPr>
              <w:spacing w:line="280" w:lineRule="exact"/>
              <w:ind w:firstLine="420" w:firstLineChars="20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pPr>
            <w:r>
              <w:rPr>
                <w:rFonts w:hint="eastAsia"/>
              </w:rPr>
              <w:t>3.管理评审报告</w:t>
            </w:r>
          </w:p>
          <w:p>
            <w:pPr>
              <w:spacing w:line="280" w:lineRule="exact"/>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pPr>
            <w:r>
              <w:rPr>
                <w:rFonts w:hint="eastAsia"/>
              </w:rPr>
              <w:t>4.改进计划</w:t>
            </w:r>
          </w:p>
          <w:p>
            <w:pPr>
              <w:pStyle w:val="2"/>
            </w:pPr>
            <w:r>
              <w:t>2020</w:t>
            </w:r>
            <w:r>
              <w:rPr>
                <w:rFonts w:hint="eastAsia"/>
              </w:rPr>
              <w:t>年0</w:t>
            </w:r>
            <w:r>
              <w:t>9</w:t>
            </w:r>
            <w:r>
              <w:rPr>
                <w:rFonts w:hint="eastAsia"/>
              </w:rPr>
              <w:t>月3日发起针对“管理手册”、“控制程序”、“管理制度”等体系的文件学习的培训。由姜子炎、钱科、田乐等参加。</w:t>
            </w: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3A7"/>
    <w:rsid w:val="00035D63"/>
    <w:rsid w:val="001A215E"/>
    <w:rsid w:val="001A2D7F"/>
    <w:rsid w:val="001C5D0F"/>
    <w:rsid w:val="0023181E"/>
    <w:rsid w:val="00321332"/>
    <w:rsid w:val="00337922"/>
    <w:rsid w:val="00340867"/>
    <w:rsid w:val="00380837"/>
    <w:rsid w:val="003A198A"/>
    <w:rsid w:val="003F5F82"/>
    <w:rsid w:val="00410914"/>
    <w:rsid w:val="0044474E"/>
    <w:rsid w:val="004F3195"/>
    <w:rsid w:val="00536930"/>
    <w:rsid w:val="00564E53"/>
    <w:rsid w:val="005B1D35"/>
    <w:rsid w:val="005B60DE"/>
    <w:rsid w:val="00630243"/>
    <w:rsid w:val="00644FE2"/>
    <w:rsid w:val="0067640C"/>
    <w:rsid w:val="0069544D"/>
    <w:rsid w:val="006E678B"/>
    <w:rsid w:val="007757F3"/>
    <w:rsid w:val="007E6AEB"/>
    <w:rsid w:val="00800BF2"/>
    <w:rsid w:val="008078E9"/>
    <w:rsid w:val="00886C4E"/>
    <w:rsid w:val="008973EE"/>
    <w:rsid w:val="00954FE8"/>
    <w:rsid w:val="00971600"/>
    <w:rsid w:val="009973B4"/>
    <w:rsid w:val="009A2DE9"/>
    <w:rsid w:val="009C28C1"/>
    <w:rsid w:val="009F7EED"/>
    <w:rsid w:val="00A53A38"/>
    <w:rsid w:val="00AF0AAB"/>
    <w:rsid w:val="00B740E7"/>
    <w:rsid w:val="00BF597E"/>
    <w:rsid w:val="00C51A36"/>
    <w:rsid w:val="00C55228"/>
    <w:rsid w:val="00C952AC"/>
    <w:rsid w:val="00CB7C0D"/>
    <w:rsid w:val="00CE315A"/>
    <w:rsid w:val="00D06F59"/>
    <w:rsid w:val="00D8388C"/>
    <w:rsid w:val="00EB0164"/>
    <w:rsid w:val="00EB348D"/>
    <w:rsid w:val="00ED0F62"/>
    <w:rsid w:val="00F71293"/>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540642B"/>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6</Pages>
  <Words>456</Words>
  <Characters>2605</Characters>
  <Lines>21</Lines>
  <Paragraphs>6</Paragraphs>
  <TotalTime>165</TotalTime>
  <ScaleCrop>false</ScaleCrop>
  <LinksUpToDate>false</LinksUpToDate>
  <CharactersWithSpaces>3055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2020-11-04T13:23:30Z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