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宋体" w:hAnsi="宋体" w:cs="Arial"/>
          <w:sz w:val="24"/>
          <w:lang w:eastAsia="zh-CN"/>
        </w:rPr>
        <w:t>0592-2020-QEO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0" w:name="组织名称"/>
      <w:r>
        <w:rPr>
          <w:b w:val="0"/>
          <w:bCs/>
          <w:color w:val="000000" w:themeColor="text1"/>
          <w:sz w:val="22"/>
          <w:szCs w:val="22"/>
          <w:u w:val="single"/>
        </w:rPr>
        <w:t>石家庄红枫家具有限公司</w:t>
      </w:r>
      <w:bookmarkEnd w:id="0"/>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1" w:name="组织名称英"/>
      <w:bookmarkEnd w:id="1"/>
      <w:r>
        <w:rPr>
          <w:rFonts w:hint="eastAsia"/>
          <w:b w:val="0"/>
          <w:bCs/>
          <w:color w:val="000000" w:themeColor="text1"/>
          <w:sz w:val="22"/>
          <w:szCs w:val="22"/>
        </w:rPr>
        <w:t>Shijiazhuang Hongfeng Furniture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2" w:name="注册地址"/>
      <w:r>
        <w:rPr>
          <w:rFonts w:hint="eastAsia"/>
          <w:b w:val="0"/>
          <w:bCs/>
          <w:color w:val="000000" w:themeColor="text1"/>
          <w:sz w:val="22"/>
          <w:szCs w:val="22"/>
        </w:rPr>
        <w:t>河北省石家庄市裕华区方郄路178号金碧雅苑6-1-1004</w:t>
      </w:r>
      <w:bookmarkEnd w:id="2"/>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3" w:name="注册邮编"/>
      <w:r>
        <w:rPr>
          <w:b w:val="0"/>
          <w:bCs/>
          <w:color w:val="000000" w:themeColor="text1"/>
          <w:sz w:val="22"/>
          <w:szCs w:val="22"/>
          <w:u w:val="single"/>
        </w:rPr>
        <w:t>050000</w:t>
      </w:r>
      <w:bookmarkEnd w:id="3"/>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(英文)：6-1-1004, Jinbi Yayuan, 178 Fangying Road, Yuhua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4" w:name="生产地址"/>
      <w:r>
        <w:rPr>
          <w:rFonts w:hint="eastAsia"/>
          <w:b w:val="0"/>
          <w:bCs/>
          <w:color w:val="000000" w:themeColor="text1"/>
          <w:sz w:val="22"/>
          <w:szCs w:val="22"/>
        </w:rPr>
        <w:t>河北省石家庄市裕华区西京北村南</w:t>
      </w:r>
      <w:bookmarkEnd w:id="4"/>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050000</w:t>
      </w:r>
      <w:bookmarkEnd w:id="5"/>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w:t>
      </w:r>
      <w:r>
        <w:rPr>
          <w:rFonts w:hint="eastAsia"/>
          <w:b w:val="0"/>
          <w:bCs/>
          <w:color w:val="000000" w:themeColor="text1"/>
          <w:sz w:val="22"/>
          <w:szCs w:val="22"/>
          <w:lang w:val="en-US" w:eastAsia="zh-CN"/>
        </w:rPr>
        <w:t xml:space="preserve"> </w:t>
      </w:r>
      <w:r>
        <w:rPr>
          <w:rFonts w:hint="eastAsia"/>
          <w:b w:val="0"/>
          <w:bCs/>
          <w:color w:val="000000" w:themeColor="text1"/>
          <w:sz w:val="22"/>
          <w:szCs w:val="22"/>
        </w:rPr>
        <w:t>Xijing</w:t>
      </w:r>
      <w:r>
        <w:rPr>
          <w:rFonts w:hint="eastAsia"/>
          <w:b w:val="0"/>
          <w:bCs/>
          <w:color w:val="000000" w:themeColor="text1"/>
          <w:sz w:val="22"/>
          <w:szCs w:val="22"/>
          <w:lang w:val="en-US" w:eastAsia="zh-CN"/>
        </w:rPr>
        <w:t>b</w:t>
      </w:r>
      <w:r>
        <w:rPr>
          <w:rFonts w:hint="eastAsia"/>
          <w:b w:val="0"/>
          <w:bCs/>
          <w:color w:val="000000" w:themeColor="text1"/>
          <w:sz w:val="22"/>
          <w:szCs w:val="22"/>
        </w:rPr>
        <w:t>ei Village, Yuhua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9113010009492932XU</w:t>
      </w:r>
      <w:bookmarkEnd w:id="6"/>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18410259001</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沈辽峰</w:t>
      </w:r>
      <w:bookmarkEnd w:id="9"/>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王振红</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1" w:name="企业人数"/>
      <w:r>
        <w:rPr>
          <w:b w:val="0"/>
          <w:bCs/>
          <w:color w:val="000000" w:themeColor="text1"/>
          <w:sz w:val="22"/>
          <w:szCs w:val="22"/>
        </w:rPr>
        <w:t>17</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Q：办公家具、钢木家具、实验室家具的生产及销售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and sales of office furniture, steel wood furniture and laboratory furniture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E：办公家具、钢木家具、实验室家具的生产及销售所涉及的相关环境管理活动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office furniture, steel wood furniture and laboratory furniture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O：办公家具、钢木家具、实验室家具的生产及销售所涉及的相关职业健康安全管理活动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office furniture, steel wood furniture and laboratory furniture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805" cy="8717280"/>
            <wp:effectExtent l="0" t="0" r="10795" b="7620"/>
            <wp:docPr id="2" name="图片 2" descr="新文档 2020-11-01 09.51.55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1-01 09.51.55_18"/>
                    <pic:cNvPicPr>
                      <a:picLocks noChangeAspect="1"/>
                    </pic:cNvPicPr>
                  </pic:nvPicPr>
                  <pic:blipFill>
                    <a:blip r:embed="rId10"/>
                    <a:stretch>
                      <a:fillRect/>
                    </a:stretch>
                  </pic:blipFill>
                  <pic:spPr>
                    <a:xfrm>
                      <a:off x="0" y="0"/>
                      <a:ext cx="6186805" cy="8717280"/>
                    </a:xfrm>
                    <a:prstGeom prst="rect">
                      <a:avLst/>
                    </a:prstGeom>
                  </pic:spPr>
                </pic:pic>
              </a:graphicData>
            </a:graphic>
          </wp:inline>
        </w:drawing>
      </w: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8C621"/>
    <w:multiLevelType w:val="singleLevel"/>
    <w:tmpl w:val="46D8C6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B215FD"/>
    <w:rsid w:val="3DF93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2020-11-06T01:50:45Z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