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宋体" w:hAnsi="宋体"/>
          <w:sz w:val="30"/>
          <w:szCs w:val="30"/>
          <w:u w:val="single"/>
          <w:lang w:val="en-US" w:eastAsia="zh-CN"/>
        </w:rPr>
        <w:t>山东胜利通海集团东营天蓝节能科技有限公司</w:t>
      </w:r>
      <w:r>
        <w:rPr>
          <w:rFonts w:hint="eastAsia" w:ascii="宋体" w:hAnsi="宋体"/>
          <w:sz w:val="32"/>
          <w:u w:val="single"/>
          <w:lang w:val="en-US" w:eastAsia="zh-CN"/>
        </w:rPr>
        <w:t xml:space="preserve">  </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lang w:eastAsia="zh-CN"/>
        </w:rPr>
        <w:t>0213-2019-2020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shd w:val="clear" w:color="auto" w:fill="auto"/>
        </w:rPr>
        <w:t>编号：</w:t>
      </w:r>
      <w:r>
        <w:rPr>
          <w:rFonts w:hint="eastAsia" w:eastAsia="宋体"/>
          <w:szCs w:val="21"/>
          <w:u w:val="single"/>
          <w:shd w:val="clear" w:color="auto" w:fill="auto"/>
          <w:lang w:eastAsia="zh-CN"/>
        </w:rPr>
        <w:t>0213-2019-2020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80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 w:val="18"/>
                <w:szCs w:val="18"/>
              </w:rPr>
            </w:pPr>
            <w:r>
              <w:rPr>
                <w:rFonts w:hint="eastAsia" w:ascii="宋体" w:hAnsi="宋体"/>
                <w:szCs w:val="21"/>
                <w:lang w:eastAsia="zh-CN"/>
              </w:rPr>
              <w:t>山东胜利通海集团东营天蓝节能科技有限公司</w:t>
            </w:r>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743"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center"/>
          </w:tcPr>
          <w:p>
            <w:pPr>
              <w:tabs>
                <w:tab w:val="left" w:pos="880"/>
              </w:tabs>
              <w:autoSpaceDE w:val="0"/>
              <w:autoSpaceDN w:val="0"/>
              <w:adjustRightInd w:val="0"/>
              <w:spacing w:before="35" w:line="276" w:lineRule="auto"/>
              <w:ind w:right="161"/>
              <w:rPr>
                <w:rFonts w:hint="default" w:cs="宋体" w:asciiTheme="minorEastAsia" w:hAnsiTheme="minorEastAsia"/>
                <w:kern w:val="0"/>
                <w:szCs w:val="21"/>
                <w:lang w:val="en-US" w:eastAsia="zh-CN"/>
              </w:rPr>
            </w:pPr>
            <w:r>
              <w:rPr>
                <w:rFonts w:hint="eastAsia" w:cs="宋体" w:asciiTheme="minorEastAsia" w:hAnsiTheme="minorEastAsia"/>
                <w:kern w:val="0"/>
                <w:szCs w:val="21"/>
              </w:rPr>
              <w:t>ISC-</w:t>
            </w:r>
            <w:r>
              <w:rPr>
                <w:rFonts w:hint="eastAsia" w:ascii="宋体" w:hAnsi="宋体"/>
                <w:szCs w:val="21"/>
                <w:lang w:val="en-US" w:eastAsia="zh-CN"/>
              </w:rPr>
              <w:t>2019--0571</w:t>
            </w:r>
          </w:p>
        </w:tc>
        <w:tc>
          <w:tcPr>
            <w:tcW w:w="1800" w:type="dxa"/>
            <w:vAlign w:val="center"/>
          </w:tcPr>
          <w:p>
            <w:pPr>
              <w:tabs>
                <w:tab w:val="left" w:pos="880"/>
              </w:tabs>
              <w:autoSpaceDE w:val="0"/>
              <w:autoSpaceDN w:val="0"/>
              <w:adjustRightInd w:val="0"/>
              <w:spacing w:before="35" w:line="276" w:lineRule="auto"/>
              <w:ind w:right="161"/>
              <w:rPr>
                <w:rFonts w:hint="eastAsia" w:cs="宋体" w:asciiTheme="minorEastAsia" w:hAnsiTheme="minorEastAsia"/>
                <w:kern w:val="0"/>
                <w:szCs w:val="21"/>
              </w:rPr>
            </w:pPr>
            <w:r>
              <w:rPr>
                <w:rFonts w:hint="eastAsia" w:cs="宋体" w:asciiTheme="minorEastAsia" w:hAnsiTheme="minorEastAsia"/>
                <w:kern w:val="0"/>
                <w:szCs w:val="21"/>
              </w:rPr>
              <w:t>证书有效期</w:t>
            </w:r>
          </w:p>
        </w:tc>
        <w:tc>
          <w:tcPr>
            <w:tcW w:w="1743" w:type="dxa"/>
            <w:vAlign w:val="center"/>
          </w:tcPr>
          <w:p>
            <w:pPr>
              <w:tabs>
                <w:tab w:val="left" w:pos="880"/>
              </w:tabs>
              <w:autoSpaceDE w:val="0"/>
              <w:autoSpaceDN w:val="0"/>
              <w:adjustRightInd w:val="0"/>
              <w:spacing w:before="35" w:line="276" w:lineRule="auto"/>
              <w:ind w:right="161"/>
              <w:rPr>
                <w:rFonts w:hint="default" w:cs="宋体" w:asciiTheme="minorEastAsia" w:hAnsiTheme="minorEastAsia"/>
                <w:kern w:val="0"/>
                <w:szCs w:val="21"/>
                <w:lang w:val="en-US" w:eastAsia="zh-CN"/>
              </w:rPr>
            </w:pPr>
            <w:r>
              <w:rPr>
                <w:rFonts w:hint="eastAsia" w:cs="宋体" w:asciiTheme="minorEastAsia" w:hAnsiTheme="minorEastAsia"/>
                <w:kern w:val="0"/>
                <w:sz w:val="18"/>
                <w:szCs w:val="18"/>
                <w:lang w:val="en-US" w:eastAsia="zh-CN"/>
              </w:rPr>
              <w:t>2024年12月3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第一次</w:t>
            </w:r>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743"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both"/>
              <w:rPr>
                <w:rFonts w:hint="default" w:ascii="宋体" w:hAnsi="宋体"/>
                <w:szCs w:val="21"/>
                <w:lang w:val="en-US" w:eastAsia="zh-CN"/>
              </w:rPr>
            </w:pPr>
            <w:r>
              <w:rPr>
                <w:rFonts w:hint="eastAsia" w:cs="Times New Roman" w:asciiTheme="minorEastAsia" w:hAnsiTheme="minorEastAsia"/>
                <w:szCs w:val="21"/>
                <w:lang w:val="en-US" w:eastAsia="zh-CN"/>
              </w:rPr>
              <w:t>崔敬</w:t>
            </w:r>
            <w:r>
              <w:rPr>
                <w:rFonts w:hint="eastAsia" w:ascii="宋体" w:hAnsi="宋体"/>
                <w:szCs w:val="21"/>
                <w:lang w:val="en-US" w:eastAsia="zh-CN"/>
              </w:rPr>
              <w:t>伟ISC[S]0209</w:t>
            </w:r>
          </w:p>
          <w:p>
            <w:pPr>
              <w:spacing w:line="360" w:lineRule="auto"/>
              <w:jc w:val="both"/>
              <w:rPr>
                <w:rFonts w:hint="default" w:ascii="宋体" w:hAnsi="宋体"/>
                <w:szCs w:val="21"/>
                <w:lang w:val="en-US" w:eastAsia="zh-CN"/>
              </w:rPr>
            </w:pPr>
            <w:r>
              <w:rPr>
                <w:rFonts w:hint="eastAsia" w:ascii="宋体" w:hAnsi="宋体"/>
                <w:szCs w:val="21"/>
                <w:lang w:val="en-US" w:eastAsia="zh-CN"/>
              </w:rPr>
              <w:t>李政阳I</w:t>
            </w:r>
            <w:r>
              <w:rPr>
                <w:rFonts w:ascii="宋体" w:hAnsi="宋体"/>
                <w:sz w:val="21"/>
                <w:szCs w:val="21"/>
              </w:rPr>
              <w:t>SC[S</w:t>
            </w:r>
            <w:r>
              <w:rPr>
                <w:rFonts w:hint="eastAsia" w:ascii="宋体" w:hAnsi="宋体"/>
                <w:szCs w:val="21"/>
                <w:lang w:val="en-US" w:eastAsia="zh-CN"/>
              </w:rPr>
              <w:t>]0060</w:t>
            </w:r>
          </w:p>
          <w:p>
            <w:pPr>
              <w:spacing w:line="360" w:lineRule="auto"/>
              <w:jc w:val="both"/>
              <w:rPr>
                <w:rFonts w:hint="default"/>
                <w:szCs w:val="21"/>
                <w:lang w:val="en-US" w:eastAsia="zh-CN"/>
              </w:rPr>
            </w:pPr>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743"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办公室 </w:t>
            </w:r>
          </w:p>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供销部  </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eastAsia="宋体" w:cs="宋体"/>
                <w:bCs/>
                <w:sz w:val="21"/>
                <w:szCs w:val="21"/>
                <w:lang w:val="en-US" w:eastAsia="zh-CN"/>
              </w:rPr>
              <w:t>生产技术部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eastAsia="zh-CN"/>
        </w:rPr>
        <w:t>一</w:t>
      </w:r>
      <w:r>
        <w:rPr>
          <w:rFonts w:hint="eastAsia" w:ascii="宋体" w:hAnsi="宋体"/>
          <w:sz w:val="24"/>
          <w:szCs w:val="24"/>
        </w:rPr>
        <w:t>年以来运行情况，在</w:t>
      </w:r>
      <w:r>
        <w:rPr>
          <w:rFonts w:hint="eastAsia" w:ascii="宋体" w:hAnsi="宋体"/>
          <w:sz w:val="24"/>
          <w:szCs w:val="24"/>
          <w:lang w:eastAsia="zh-CN"/>
        </w:rPr>
        <w:t>山东胜利通海集团东营天蓝节能科技有限公司</w:t>
      </w:r>
      <w:r>
        <w:rPr>
          <w:rFonts w:hint="eastAsia" w:ascii="宋体" w:hAnsi="宋体"/>
          <w:sz w:val="24"/>
          <w:szCs w:val="24"/>
        </w:rPr>
        <w:t>现场审核中，审核组先、后抽样检查了涉及公司测量体系内的、生产、经营、质量和环境等方面的</w:t>
      </w:r>
      <w:r>
        <w:rPr>
          <w:rFonts w:hint="eastAsia" w:ascii="宋体" w:hAnsi="宋体"/>
          <w:sz w:val="24"/>
          <w:szCs w:val="24"/>
          <w:lang w:val="en-US" w:eastAsia="zh-CN"/>
        </w:rPr>
        <w:t>3</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9"/>
          <w:rFonts w:hint="eastAsia" w:ascii="宋体" w:eastAsia="宋体"/>
          <w:sz w:val="24"/>
          <w:szCs w:val="24"/>
        </w:rPr>
        <w:t>及测量设备量值溯源完成情况</w:t>
      </w:r>
      <w:r>
        <w:rPr>
          <w:rStyle w:val="9"/>
          <w:rFonts w:hint="eastAsia" w:ascii="宋体" w:eastAsia="宋体"/>
          <w:sz w:val="24"/>
          <w:szCs w:val="24"/>
          <w:lang w:eastAsia="zh-CN"/>
        </w:rPr>
        <w:t>等</w:t>
      </w:r>
      <w:r>
        <w:rPr>
          <w:rStyle w:val="9"/>
          <w:rFonts w:hint="eastAsia" w:ascii="宋体" w:eastAsia="宋体"/>
          <w:sz w:val="24"/>
          <w:szCs w:val="24"/>
        </w:rPr>
        <w:t>。</w:t>
      </w:r>
      <w:r>
        <w:rPr>
          <w:rStyle w:val="9"/>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完善了资源的配备，企业没有新增测量设备，企业制定的</w:t>
      </w:r>
      <w:r>
        <w:rPr>
          <w:rFonts w:hint="eastAsia" w:ascii="宋体" w:hAnsi="宋体"/>
          <w:bCs/>
          <w:sz w:val="24"/>
          <w:szCs w:val="24"/>
        </w:rPr>
        <w:t>质量目标</w:t>
      </w:r>
      <w:r>
        <w:rPr>
          <w:rFonts w:hint="eastAsia" w:ascii="宋体" w:hAnsi="宋体"/>
          <w:bCs/>
          <w:sz w:val="24"/>
          <w:szCs w:val="24"/>
          <w:lang w:eastAsia="zh-CN"/>
        </w:rPr>
        <w:t>能</w:t>
      </w:r>
      <w:r>
        <w:rPr>
          <w:rFonts w:hint="eastAsia" w:ascii="宋体" w:hAnsi="宋体"/>
          <w:bCs/>
          <w:sz w:val="24"/>
          <w:szCs w:val="24"/>
        </w:rPr>
        <w:t>按规定的内容和时间进行考核，</w:t>
      </w:r>
      <w:r>
        <w:rPr>
          <w:rFonts w:hint="eastAsia" w:ascii="宋体" w:hAnsi="宋体"/>
          <w:bCs/>
          <w:sz w:val="24"/>
          <w:szCs w:val="24"/>
          <w:lang w:val="en-US" w:eastAsia="zh-CN"/>
        </w:rPr>
        <w:t>2020</w:t>
      </w:r>
      <w:r>
        <w:rPr>
          <w:rFonts w:hint="eastAsia" w:ascii="宋体" w:hAnsi="宋体"/>
          <w:bCs/>
          <w:sz w:val="24"/>
          <w:szCs w:val="24"/>
        </w:rPr>
        <w:t>年度质量目标完成情况较</w:t>
      </w:r>
      <w:r>
        <w:rPr>
          <w:rFonts w:hint="eastAsia" w:ascii="宋体" w:hAnsi="宋体"/>
          <w:bCs/>
          <w:sz w:val="24"/>
          <w:szCs w:val="24"/>
          <w:lang w:val="en-US" w:eastAsia="zh-CN"/>
        </w:rPr>
        <w:t>好；</w:t>
      </w:r>
      <w:r>
        <w:rPr>
          <w:rFonts w:hint="eastAsia" w:ascii="宋体" w:hAnsi="宋体"/>
          <w:bCs/>
          <w:sz w:val="24"/>
          <w:szCs w:val="24"/>
          <w:lang w:eastAsia="zh-CN"/>
        </w:rPr>
        <w:t>山东胜利通海集团东营天蓝节能科技有限公司</w:t>
      </w:r>
      <w:r>
        <w:rPr>
          <w:rFonts w:hint="eastAsia" w:ascii="宋体" w:hAnsi="宋体"/>
          <w:bCs/>
          <w:sz w:val="24"/>
          <w:szCs w:val="24"/>
          <w:lang w:val="en-US" w:eastAsia="zh-CN"/>
        </w:rPr>
        <w:t>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9"/>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10</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11-12</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9"/>
          <w:rFonts w:hint="eastAsia" w:ascii="宋体" w:eastAsia="宋体"/>
          <w:sz w:val="24"/>
          <w:szCs w:val="24"/>
        </w:rPr>
        <w:t>按GB/T 19022-2003标准的要素要求，审核共涉及了</w:t>
      </w:r>
      <w:r>
        <w:rPr>
          <w:rStyle w:val="9"/>
          <w:rFonts w:hint="eastAsia" w:ascii="宋体" w:eastAsia="宋体"/>
          <w:sz w:val="24"/>
          <w:szCs w:val="24"/>
          <w:lang w:val="en-US" w:eastAsia="zh-CN"/>
        </w:rPr>
        <w:t>3</w:t>
      </w:r>
      <w:r>
        <w:rPr>
          <w:rStyle w:val="9"/>
          <w:rFonts w:hint="eastAsia" w:ascii="宋体" w:eastAsia="宋体"/>
          <w:sz w:val="24"/>
          <w:szCs w:val="24"/>
        </w:rPr>
        <w:t>个职能部门和</w:t>
      </w:r>
      <w:r>
        <w:rPr>
          <w:rStyle w:val="9"/>
          <w:rFonts w:hint="eastAsia" w:ascii="宋体" w:eastAsia="宋体"/>
          <w:sz w:val="24"/>
          <w:szCs w:val="24"/>
          <w:lang w:val="en-US" w:eastAsia="zh-CN"/>
        </w:rPr>
        <w:t>1</w:t>
      </w:r>
      <w:r>
        <w:rPr>
          <w:rStyle w:val="9"/>
          <w:rFonts w:hint="eastAsia" w:ascii="宋体" w:eastAsia="宋体"/>
          <w:sz w:val="24"/>
          <w:szCs w:val="24"/>
        </w:rPr>
        <w:t>个生产作业单位。</w:t>
      </w:r>
      <w:r>
        <w:rPr>
          <w:rFonts w:hint="eastAsia"/>
          <w:sz w:val="24"/>
          <w:szCs w:val="24"/>
        </w:rPr>
        <w:t>审核共开具</w:t>
      </w:r>
      <w:r>
        <w:rPr>
          <w:rStyle w:val="9"/>
          <w:rFonts w:hint="eastAsia" w:ascii="宋体" w:eastAsia="宋体"/>
          <w:sz w:val="24"/>
          <w:szCs w:val="24"/>
        </w:rPr>
        <w:t xml:space="preserve">次要不符合项 </w:t>
      </w:r>
      <w:r>
        <w:rPr>
          <w:rStyle w:val="9"/>
          <w:rFonts w:hint="eastAsia" w:ascii="宋体" w:eastAsia="宋体"/>
          <w:sz w:val="24"/>
          <w:szCs w:val="24"/>
          <w:lang w:val="en-US" w:eastAsia="zh-CN"/>
        </w:rPr>
        <w:t>1</w:t>
      </w:r>
      <w:r>
        <w:rPr>
          <w:rStyle w:val="9"/>
          <w:rFonts w:hint="eastAsia" w:ascii="宋体" w:eastAsia="宋体"/>
          <w:sz w:val="24"/>
          <w:szCs w:val="24"/>
        </w:rPr>
        <w:t>项,对内审发现的问题，制定了有效的纠正措施</w:t>
      </w:r>
      <w:r>
        <w:rPr>
          <w:rStyle w:val="9"/>
          <w:rFonts w:hint="eastAsia" w:ascii="宋体" w:eastAsia="宋体"/>
          <w:sz w:val="24"/>
          <w:szCs w:val="24"/>
          <w:lang w:eastAsia="zh-CN"/>
        </w:rPr>
        <w:t>并</w:t>
      </w:r>
      <w:r>
        <w:rPr>
          <w:rStyle w:val="9"/>
          <w:rFonts w:hint="eastAsia" w:ascii="宋体" w:eastAsia="宋体"/>
          <w:sz w:val="24"/>
          <w:szCs w:val="24"/>
        </w:rPr>
        <w:t>及时整改</w:t>
      </w:r>
      <w:r>
        <w:rPr>
          <w:rStyle w:val="9"/>
          <w:rFonts w:hint="eastAsia" w:ascii="宋体" w:eastAsia="宋体"/>
          <w:sz w:val="24"/>
          <w:szCs w:val="24"/>
          <w:lang w:val="en-US" w:eastAsia="zh-CN"/>
        </w:rPr>
        <w:t>.</w:t>
      </w:r>
    </w:p>
    <w:p>
      <w:pPr>
        <w:widowControl/>
        <w:spacing w:line="360" w:lineRule="auto"/>
        <w:rPr>
          <w:rFonts w:ascii="宋体" w:hAnsi="宋体"/>
          <w:sz w:val="24"/>
          <w:szCs w:val="24"/>
        </w:rPr>
      </w:pPr>
      <w:r>
        <w:rPr>
          <w:rStyle w:val="9"/>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10</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20</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公司经理</w:t>
      </w:r>
      <w:r>
        <w:rPr>
          <w:rFonts w:hint="eastAsia"/>
          <w:sz w:val="24"/>
          <w:lang w:eastAsia="zh-CN"/>
        </w:rPr>
        <w:t>谭志军</w:t>
      </w:r>
      <w:r>
        <w:rPr>
          <w:rFonts w:hint="eastAsia" w:ascii="宋体" w:hAnsi="宋体" w:cs="黑体"/>
          <w:sz w:val="24"/>
          <w:szCs w:val="24"/>
        </w:rPr>
        <w:t>主持，由</w:t>
      </w:r>
      <w:r>
        <w:rPr>
          <w:rFonts w:ascii="宋体" w:hAnsi="宋体" w:cs="黑体"/>
          <w:sz w:val="24"/>
          <w:szCs w:val="24"/>
        </w:rPr>
        <w:t>管理者代表</w:t>
      </w:r>
      <w:r>
        <w:rPr>
          <w:rFonts w:hint="eastAsia" w:ascii="宋体" w:hAnsi="宋体" w:cs="黑体"/>
          <w:sz w:val="24"/>
          <w:szCs w:val="24"/>
          <w:lang w:val="en-US" w:eastAsia="zh-CN"/>
        </w:rPr>
        <w:t>柴泽峰</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snapToGrid w:val="0"/>
        <w:spacing w:line="360" w:lineRule="auto"/>
        <w:ind w:right="-512" w:rightChars="-244"/>
        <w:rPr>
          <w:sz w:val="24"/>
          <w:szCs w:val="24"/>
        </w:rPr>
      </w:pPr>
      <w:r>
        <w:rPr>
          <w:rFonts w:hint="eastAsia" w:asciiTheme="minorEastAsia" w:hAnsiTheme="minorEastAsia"/>
          <w:bCs/>
          <w:szCs w:val="21"/>
        </w:rPr>
        <w:t>4.为</w:t>
      </w:r>
      <w:r>
        <w:rPr>
          <w:rFonts w:hint="eastAsia"/>
          <w:sz w:val="24"/>
          <w:szCs w:val="24"/>
          <w:lang w:val="en-US" w:eastAsia="zh-CN"/>
        </w:rPr>
        <w:t>持续改进而策划的活动的进展 ，包括：企业对已识别的接地电阻测量过程，按测量过程控制规范，进行了有效性监视。记录、监视控制图齐全，</w:t>
      </w:r>
      <w:r>
        <w:rPr>
          <w:rFonts w:hint="eastAsia"/>
          <w:sz w:val="24"/>
          <w:szCs w:val="24"/>
        </w:rPr>
        <w:t>完整；</w:t>
      </w:r>
      <w:r>
        <w:rPr>
          <w:rFonts w:hint="eastAsia"/>
          <w:sz w:val="24"/>
          <w:szCs w:val="24"/>
          <w:lang w:val="en-US" w:eastAsia="zh-CN"/>
        </w:rPr>
        <w:t>未见新增关键测量过程。</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cs="宋体" w:asciiTheme="minorEastAsia" w:hAnsiTheme="minorEastAsia"/>
          <w:bCs/>
          <w:color w:val="000000" w:themeColor="text1"/>
          <w:kern w:val="0"/>
          <w:sz w:val="24"/>
          <w:szCs w:val="24"/>
        </w:rPr>
      </w:pPr>
      <w:r>
        <w:rPr>
          <w:rFonts w:hint="eastAsia" w:asciiTheme="minorEastAsia" w:hAnsiTheme="minorEastAsia"/>
          <w:bCs/>
          <w:sz w:val="24"/>
          <w:szCs w:val="24"/>
        </w:rPr>
        <w:t>公司对</w:t>
      </w:r>
      <w:r>
        <w:rPr>
          <w:rFonts w:hint="eastAsia" w:asciiTheme="minorEastAsia" w:hAnsiTheme="minorEastAsia"/>
          <w:bCs/>
          <w:sz w:val="24"/>
          <w:szCs w:val="24"/>
          <w:lang w:eastAsia="zh-CN"/>
        </w:rPr>
        <w:t>上一年度</w:t>
      </w:r>
      <w:r>
        <w:rPr>
          <w:rFonts w:hint="eastAsia" w:asciiTheme="minorEastAsia" w:hAnsiTheme="minorEastAsia"/>
          <w:bCs/>
          <w:sz w:val="24"/>
          <w:szCs w:val="24"/>
          <w:lang w:val="en-US" w:eastAsia="zh-CN"/>
        </w:rPr>
        <w:t>监督审核</w:t>
      </w:r>
      <w:r>
        <w:rPr>
          <w:rFonts w:hint="eastAsia" w:asciiTheme="minorEastAsia" w:hAnsiTheme="minorEastAsia"/>
          <w:bCs/>
          <w:sz w:val="24"/>
          <w:szCs w:val="24"/>
        </w:rPr>
        <w:t>中确定的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及时制定整改计划，采取了</w:t>
      </w:r>
      <w:r>
        <w:rPr>
          <w:rFonts w:hint="eastAsia" w:ascii="宋体" w:hAnsi="宋体" w:cs="宋体"/>
          <w:kern w:val="0"/>
          <w:sz w:val="24"/>
          <w:szCs w:val="24"/>
        </w:rPr>
        <w:t>纠正措施</w:t>
      </w:r>
      <w:r>
        <w:rPr>
          <w:rFonts w:hint="eastAsia" w:ascii="宋体" w:hAnsi="宋体" w:cs="宋体"/>
          <w:kern w:val="0"/>
          <w:sz w:val="24"/>
          <w:szCs w:val="24"/>
          <w:lang w:val="en-US" w:eastAsia="zh-CN"/>
        </w:rPr>
        <w:t>，</w:t>
      </w:r>
      <w:r>
        <w:rPr>
          <w:rFonts w:hint="eastAsia" w:asciiTheme="minorEastAsia" w:hAnsiTheme="minorEastAsia"/>
          <w:bCs/>
          <w:sz w:val="24"/>
          <w:szCs w:val="24"/>
          <w:lang w:val="en-US" w:eastAsia="zh-CN"/>
        </w:rPr>
        <w:t>对</w:t>
      </w:r>
      <w:r>
        <w:rPr>
          <w:rFonts w:hint="eastAsia" w:asciiTheme="minorEastAsia" w:hAnsiTheme="minorEastAsia"/>
          <w:bCs/>
          <w:sz w:val="24"/>
          <w:szCs w:val="24"/>
        </w:rPr>
        <w:t>顾</w:t>
      </w:r>
      <w:r>
        <w:rPr>
          <w:rFonts w:hint="eastAsia" w:asciiTheme="minorEastAsia" w:hAnsiTheme="minorEastAsia"/>
          <w:bCs/>
          <w:sz w:val="24"/>
          <w:szCs w:val="24"/>
          <w:lang w:val="en-US" w:eastAsia="zh-CN"/>
        </w:rPr>
        <w:t>客满意度再</w:t>
      </w:r>
      <w:r>
        <w:rPr>
          <w:rFonts w:hint="eastAsia" w:asciiTheme="minorEastAsia" w:hAnsiTheme="minorEastAsia"/>
          <w:bCs/>
          <w:sz w:val="24"/>
          <w:szCs w:val="24"/>
          <w:lang w:eastAsia="zh-CN"/>
        </w:rPr>
        <w:t>次</w:t>
      </w:r>
      <w:r>
        <w:rPr>
          <w:rFonts w:hint="eastAsia" w:asciiTheme="minorEastAsia" w:hAnsiTheme="minorEastAsia"/>
          <w:bCs/>
          <w:sz w:val="24"/>
          <w:szCs w:val="24"/>
          <w:lang w:val="en-US" w:eastAsia="zh-CN"/>
        </w:rPr>
        <w:t>进行了回访，</w:t>
      </w:r>
      <w:r>
        <w:rPr>
          <w:rFonts w:hint="eastAsia" w:ascii="宋体" w:cs="宋体"/>
          <w:color w:val="000000" w:themeColor="text1"/>
          <w:kern w:val="0"/>
          <w:sz w:val="24"/>
          <w:szCs w:val="24"/>
          <w:lang w:val="en-US" w:eastAsia="zh-CN"/>
        </w:rPr>
        <w:t>并举一反三对公司相关内容进行检查，发现问题一并改正。</w:t>
      </w:r>
      <w:r>
        <w:rPr>
          <w:rFonts w:hint="eastAsia" w:ascii="宋体" w:hAnsi="宋体"/>
          <w:color w:val="000000" w:themeColor="text1"/>
          <w:sz w:val="24"/>
          <w:szCs w:val="24"/>
        </w:rPr>
        <w:t>经审核组本次现场审核，通过对纠正措施工作的实施、完成情况跟踪及有效性进行现场查验，确认公司</w:t>
      </w:r>
      <w:r>
        <w:rPr>
          <w:rFonts w:hint="eastAsia" w:asciiTheme="minorEastAsia" w:hAnsiTheme="minorEastAsia"/>
          <w:bCs/>
          <w:sz w:val="24"/>
          <w:szCs w:val="24"/>
          <w:lang w:val="en-US" w:eastAsia="zh-CN"/>
        </w:rPr>
        <w:t>初次</w:t>
      </w:r>
      <w:r>
        <w:rPr>
          <w:rFonts w:hint="eastAsia" w:asciiTheme="minorEastAsia" w:hAnsiTheme="minorEastAsia"/>
          <w:bCs/>
          <w:sz w:val="24"/>
          <w:szCs w:val="24"/>
        </w:rPr>
        <w:t>审核中确定的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个不符合项，所</w:t>
      </w:r>
      <w:r>
        <w:rPr>
          <w:rFonts w:hint="eastAsia" w:asciiTheme="minorEastAsia" w:hAnsiTheme="minorEastAsia"/>
          <w:bCs/>
          <w:color w:val="000000" w:themeColor="text1"/>
          <w:sz w:val="24"/>
          <w:szCs w:val="24"/>
        </w:rPr>
        <w:t>采取的</w:t>
      </w:r>
      <w:r>
        <w:rPr>
          <w:rFonts w:hint="eastAsia" w:ascii="宋体" w:hAnsi="宋体" w:cs="宋体"/>
          <w:color w:val="000000" w:themeColor="text1"/>
          <w:kern w:val="0"/>
          <w:sz w:val="24"/>
          <w:szCs w:val="24"/>
        </w:rPr>
        <w:t>纠正措施及时、正确，完成情况良好并持续有效</w:t>
      </w:r>
      <w:r>
        <w:rPr>
          <w:rFonts w:hint="eastAsia" w:ascii="宋体" w:cs="宋体"/>
          <w:color w:val="000000" w:themeColor="text1"/>
          <w:kern w:val="0"/>
          <w:sz w:val="24"/>
          <w:szCs w:val="24"/>
          <w:lang w:val="en-US" w:eastAsia="zh-CN"/>
        </w:rPr>
        <w:t>。同</w:t>
      </w:r>
      <w:r>
        <w:rPr>
          <w:rFonts w:hint="eastAsia" w:ascii="宋体" w:cs="宋体"/>
          <w:color w:val="000000" w:themeColor="text1"/>
          <w:kern w:val="0"/>
          <w:sz w:val="24"/>
          <w:szCs w:val="24"/>
        </w:rPr>
        <w:t>意关闭</w:t>
      </w:r>
      <w:r>
        <w:rPr>
          <w:rFonts w:hint="eastAsia" w:ascii="宋体" w:cs="宋体"/>
          <w:color w:val="000000" w:themeColor="text1"/>
          <w:kern w:val="0"/>
          <w:sz w:val="24"/>
          <w:szCs w:val="24"/>
          <w:lang w:val="en-US" w:eastAsia="zh-CN"/>
        </w:rPr>
        <w:t>1</w:t>
      </w:r>
      <w:r>
        <w:rPr>
          <w:rFonts w:hint="eastAsia" w:ascii="宋体" w:cs="宋体"/>
          <w:color w:val="000000" w:themeColor="text1"/>
          <w:kern w:val="0"/>
          <w:sz w:val="24"/>
          <w:szCs w:val="24"/>
        </w:rPr>
        <w:t>个不符合项。</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numPr>
          <w:ilvl w:val="0"/>
          <w:numId w:val="2"/>
        </w:numPr>
        <w:snapToGrid w:val="0"/>
        <w:spacing w:line="360" w:lineRule="auto"/>
        <w:ind w:left="0" w:leftChars="0" w:right="-512" w:rightChars="-244" w:firstLine="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对企业组织任何变更的审核   </w:t>
      </w:r>
    </w:p>
    <w:p>
      <w:pPr>
        <w:numPr>
          <w:ilvl w:val="0"/>
          <w:numId w:val="0"/>
        </w:numPr>
        <w:snapToGrid w:val="0"/>
        <w:spacing w:line="360" w:lineRule="auto"/>
        <w:ind w:leftChars="0" w:right="-512" w:rightChars="-244"/>
        <w:rPr>
          <w:rFonts w:hint="default" w:ascii="宋体" w:hAnsi="宋体"/>
          <w:sz w:val="24"/>
          <w:szCs w:val="24"/>
          <w:highlight w:val="none"/>
          <w:lang w:val="en-US" w:eastAsia="zh-CN"/>
        </w:rPr>
      </w:pPr>
      <w:r>
        <w:rPr>
          <w:rFonts w:hint="eastAsia" w:ascii="宋体" w:hAnsi="宋体"/>
          <w:sz w:val="24"/>
          <w:szCs w:val="24"/>
          <w:highlight w:val="none"/>
          <w:lang w:val="en-US" w:eastAsia="zh-CN"/>
        </w:rPr>
        <w:t xml:space="preserve"> 现场核实企业组织无任何变更</w:t>
      </w:r>
      <w:r>
        <w:rPr>
          <w:rFonts w:hint="eastAsia" w:asciiTheme="minorEastAsia" w:hAnsiTheme="minorEastAsia"/>
          <w:bCs/>
          <w:sz w:val="24"/>
          <w:szCs w:val="24"/>
          <w:lang w:eastAsia="zh-CN"/>
        </w:rPr>
        <w:t>。</w:t>
      </w:r>
    </w:p>
    <w:p>
      <w:pPr>
        <w:snapToGrid w:val="0"/>
        <w:spacing w:line="360" w:lineRule="auto"/>
        <w:ind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numPr>
          <w:ilvl w:val="0"/>
          <w:numId w:val="0"/>
        </w:numPr>
        <w:snapToGrid w:val="0"/>
        <w:spacing w:line="400" w:lineRule="exact"/>
        <w:ind w:right="-512" w:rightChars="-244" w:firstLine="480" w:firstLineChars="200"/>
        <w:rPr>
          <w:rFonts w:hint="eastAsia" w:asciiTheme="minorEastAsia" w:hAnsiTheme="minorEastAsia"/>
          <w:bCs/>
          <w:sz w:val="24"/>
          <w:szCs w:val="24"/>
          <w:lang w:eastAsia="zh-CN"/>
        </w:rPr>
      </w:pPr>
      <w:r>
        <w:rPr>
          <w:rFonts w:hint="eastAsia" w:asciiTheme="minorEastAsia" w:hAnsiTheme="minorEastAsia"/>
          <w:bCs/>
          <w:sz w:val="24"/>
          <w:szCs w:val="24"/>
          <w:lang w:eastAsia="zh-CN"/>
        </w:rPr>
        <w:t xml:space="preserve">本次审核共出具一般不符合项 </w:t>
      </w:r>
      <w:r>
        <w:rPr>
          <w:rFonts w:hint="eastAsia" w:asciiTheme="minorEastAsia" w:hAnsiTheme="minorEastAsia"/>
          <w:bCs/>
          <w:sz w:val="24"/>
          <w:szCs w:val="24"/>
          <w:lang w:val="en-US" w:eastAsia="zh-CN"/>
        </w:rPr>
        <w:t>1</w:t>
      </w:r>
      <w:r>
        <w:rPr>
          <w:rFonts w:hint="eastAsia" w:asciiTheme="minorEastAsia" w:hAnsiTheme="minorEastAsia"/>
          <w:bCs/>
          <w:sz w:val="24"/>
          <w:szCs w:val="24"/>
          <w:lang w:eastAsia="zh-CN"/>
        </w:rPr>
        <w:t>项，未发现严重或系统性的不符合情况。</w:t>
      </w:r>
    </w:p>
    <w:p>
      <w:pPr>
        <w:numPr>
          <w:ilvl w:val="0"/>
          <w:numId w:val="0"/>
        </w:numPr>
        <w:snapToGrid w:val="0"/>
        <w:spacing w:line="400" w:lineRule="exact"/>
        <w:ind w:right="-512" w:rightChars="-244" w:firstLine="482" w:firstLineChars="200"/>
        <w:rPr>
          <w:rFonts w:hint="eastAsia" w:asciiTheme="minorEastAsia" w:hAnsiTheme="minorEastAsia"/>
          <w:b/>
          <w:bCs w:val="0"/>
          <w:sz w:val="24"/>
          <w:szCs w:val="24"/>
          <w:lang w:eastAsia="zh-CN"/>
        </w:rPr>
      </w:pPr>
      <w:r>
        <w:rPr>
          <w:rFonts w:hint="eastAsia" w:asciiTheme="minorEastAsia" w:hAnsiTheme="minorEastAsia"/>
          <w:b/>
          <w:bCs w:val="0"/>
          <w:sz w:val="24"/>
          <w:szCs w:val="24"/>
          <w:lang w:val="en-US" w:eastAsia="zh-CN"/>
        </w:rPr>
        <w:t>在生产技术部</w:t>
      </w:r>
      <w:r>
        <w:rPr>
          <w:rFonts w:hint="eastAsia" w:asciiTheme="minorEastAsia" w:hAnsiTheme="minorEastAsia"/>
          <w:b/>
          <w:bCs w:val="0"/>
          <w:sz w:val="24"/>
          <w:szCs w:val="24"/>
          <w:lang w:eastAsia="zh-CN"/>
        </w:rPr>
        <w:t>查测量设备台账中，没有提供出厂编号为</w:t>
      </w:r>
      <w:r>
        <w:rPr>
          <w:rFonts w:hint="eastAsia" w:asciiTheme="minorEastAsia" w:hAnsiTheme="minorEastAsia"/>
          <w:b/>
          <w:bCs w:val="0"/>
          <w:sz w:val="24"/>
          <w:szCs w:val="24"/>
          <w:lang w:val="en-US" w:eastAsia="zh-CN"/>
        </w:rPr>
        <w:t>170922451的规格型号为（0-25）mm的</w:t>
      </w:r>
      <w:r>
        <w:rPr>
          <w:rFonts w:hint="eastAsia" w:asciiTheme="minorEastAsia" w:hAnsiTheme="minorEastAsia"/>
          <w:b/>
          <w:bCs w:val="0"/>
          <w:sz w:val="24"/>
          <w:szCs w:val="24"/>
          <w:lang w:eastAsia="zh-CN"/>
        </w:rPr>
        <w:t>千分尺建账管理的证据。</w:t>
      </w:r>
    </w:p>
    <w:p>
      <w:pPr>
        <w:numPr>
          <w:ilvl w:val="0"/>
          <w:numId w:val="0"/>
        </w:numPr>
        <w:snapToGrid w:val="0"/>
        <w:spacing w:line="400" w:lineRule="exact"/>
        <w:ind w:right="-512" w:rightChars="-244" w:firstLine="482" w:firstLineChars="200"/>
        <w:rPr>
          <w:rFonts w:hint="eastAsia" w:asciiTheme="minorEastAsia" w:hAnsiTheme="minorEastAsia"/>
          <w:b/>
          <w:bCs w:val="0"/>
          <w:sz w:val="24"/>
          <w:szCs w:val="24"/>
          <w:lang w:eastAsia="zh-CN"/>
        </w:rPr>
      </w:pPr>
      <w:r>
        <w:rPr>
          <w:rFonts w:hint="eastAsia" w:asciiTheme="minorEastAsia" w:hAnsiTheme="minorEastAsia"/>
          <w:b/>
          <w:bCs w:val="0"/>
          <w:sz w:val="24"/>
          <w:szCs w:val="24"/>
          <w:lang w:eastAsia="zh-CN"/>
        </w:rPr>
        <w:t>不符合</w:t>
      </w:r>
      <w:r>
        <w:rPr>
          <w:rFonts w:hint="eastAsia" w:asciiTheme="minorEastAsia" w:hAnsiTheme="minorEastAsia"/>
          <w:b/>
          <w:bCs w:val="0"/>
          <w:sz w:val="24"/>
          <w:szCs w:val="24"/>
          <w:lang w:val="en-US" w:eastAsia="zh-CN"/>
        </w:rPr>
        <w:t>GB/T 19022-2003标准的6.3.1条款关于“</w:t>
      </w:r>
      <w:r>
        <w:rPr>
          <w:rFonts w:hint="eastAsia" w:asciiTheme="minorEastAsia" w:hAnsiTheme="minorEastAsia"/>
          <w:b/>
          <w:bCs w:val="0"/>
          <w:sz w:val="24"/>
          <w:szCs w:val="24"/>
          <w:lang w:eastAsia="zh-CN"/>
        </w:rPr>
        <w:t>计量职能的管理者应建立、保持和使用形成文件的程序来接收、处置、搬运、贮存和发放测量设备</w:t>
      </w:r>
      <w:r>
        <w:rPr>
          <w:rFonts w:hint="eastAsia" w:asciiTheme="minorEastAsia" w:hAnsiTheme="minorEastAsia"/>
          <w:b/>
          <w:bCs w:val="0"/>
          <w:sz w:val="24"/>
          <w:szCs w:val="24"/>
          <w:lang w:val="en-US" w:eastAsia="zh-CN"/>
        </w:rPr>
        <w:t>……”的规定要求。</w:t>
      </w:r>
      <w:r>
        <w:rPr>
          <w:rFonts w:hint="eastAsia" w:asciiTheme="minorEastAsia" w:hAnsiTheme="minorEastAsia"/>
          <w:b/>
          <w:bCs w:val="0"/>
          <w:sz w:val="24"/>
          <w:szCs w:val="24"/>
          <w:lang w:eastAsia="zh-CN"/>
        </w:rPr>
        <w:t>属于次要不符合项。</w:t>
      </w:r>
    </w:p>
    <w:p>
      <w:pPr>
        <w:numPr>
          <w:ilvl w:val="0"/>
          <w:numId w:val="0"/>
        </w:numPr>
        <w:snapToGrid w:val="0"/>
        <w:spacing w:line="400" w:lineRule="exact"/>
        <w:ind w:right="-512" w:rightChars="-244" w:firstLine="480" w:firstLineChars="200"/>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针对上述1项次要不符合项，企业制定了整改措施并已落实，审核组验证有效</w:t>
      </w:r>
      <w:r>
        <w:rPr>
          <w:rFonts w:hint="eastAsia" w:asciiTheme="minorEastAsia" w:hAnsiTheme="minorEastAsia"/>
          <w:bCs/>
          <w:sz w:val="24"/>
          <w:szCs w:val="24"/>
          <w:lang w:eastAsia="zh-CN"/>
        </w:rPr>
        <w:t>。</w:t>
      </w:r>
    </w:p>
    <w:p>
      <w:pPr>
        <w:numPr>
          <w:ilvl w:val="0"/>
          <w:numId w:val="0"/>
        </w:numPr>
        <w:snapToGrid w:val="0"/>
        <w:spacing w:line="400" w:lineRule="exact"/>
        <w:ind w:right="-512" w:rightChars="-244"/>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numPr>
          <w:ilvl w:val="0"/>
          <w:numId w:val="0"/>
        </w:numPr>
        <w:snapToGrid w:val="0"/>
        <w:spacing w:line="400" w:lineRule="exact"/>
        <w:ind w:right="-512" w:rightChars="-244" w:firstLine="480" w:firstLineChars="200"/>
        <w:rPr>
          <w:rFonts w:hint="eastAsia" w:ascii="宋体" w:hAnsi="宋体"/>
          <w:sz w:val="24"/>
          <w:szCs w:val="24"/>
        </w:rPr>
      </w:pPr>
      <w:r>
        <w:rPr>
          <w:rFonts w:hint="eastAsia" w:asciiTheme="minorEastAsia" w:hAnsiTheme="minorEastAsia"/>
          <w:bCs/>
          <w:sz w:val="24"/>
          <w:szCs w:val="24"/>
        </w:rPr>
        <w:t>通过</w:t>
      </w:r>
      <w:r>
        <w:rPr>
          <w:rFonts w:hint="eastAsia" w:asciiTheme="minorEastAsia" w:hAnsiTheme="minorEastAsia"/>
          <w:bCs/>
          <w:sz w:val="24"/>
          <w:szCs w:val="24"/>
          <w:lang w:eastAsia="zh-CN"/>
        </w:rPr>
        <w:t>2020年10月30日</w:t>
      </w:r>
      <w:r>
        <w:rPr>
          <w:rFonts w:hint="eastAsia" w:asciiTheme="minorEastAsia" w:hAnsiTheme="minorEastAsia"/>
          <w:bCs/>
          <w:sz w:val="24"/>
          <w:szCs w:val="24"/>
        </w:rPr>
        <w:t>，对</w:t>
      </w:r>
      <w:r>
        <w:rPr>
          <w:rFonts w:hint="eastAsia" w:asciiTheme="minorEastAsia" w:hAnsiTheme="minorEastAsia"/>
          <w:bCs/>
          <w:sz w:val="24"/>
          <w:szCs w:val="24"/>
          <w:lang w:eastAsia="zh-CN"/>
        </w:rPr>
        <w:t>山东胜利通海集团东营天蓝节能科技有限公司</w:t>
      </w:r>
      <w:r>
        <w:rPr>
          <w:rFonts w:hint="eastAsia" w:asciiTheme="minorEastAsia" w:hAnsiTheme="minorEastAsia"/>
          <w:bCs/>
          <w:sz w:val="24"/>
          <w:szCs w:val="24"/>
        </w:rPr>
        <w:t>测量管理现场监督审核.验证了公司在测量管理体系实现认证后</w:t>
      </w:r>
      <w:r>
        <w:rPr>
          <w:rFonts w:hint="eastAsia" w:asciiTheme="minorEastAsia" w:hAnsiTheme="minorEastAsia"/>
          <w:bCs/>
          <w:sz w:val="24"/>
          <w:szCs w:val="24"/>
          <w:lang w:val="en-US" w:eastAsia="zh-CN"/>
        </w:rPr>
        <w:t>1</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p>
    <w:p>
      <w:pPr>
        <w:numPr>
          <w:ilvl w:val="0"/>
          <w:numId w:val="0"/>
        </w:numPr>
        <w:snapToGrid w:val="0"/>
        <w:spacing w:line="400" w:lineRule="exact"/>
        <w:ind w:right="-512" w:rightChars="-244" w:firstLine="480" w:firstLineChars="200"/>
        <w:rPr>
          <w:rFonts w:hint="eastAsia" w:ascii="宋体" w:hAnsi="宋体"/>
          <w:sz w:val="24"/>
          <w:szCs w:val="24"/>
          <w:shd w:val="clear" w:color="auto" w:fill="auto"/>
        </w:rPr>
      </w:pPr>
      <w:r>
        <w:rPr>
          <w:rFonts w:hint="eastAsia" w:ascii="宋体" w:hAnsi="宋体"/>
          <w:sz w:val="24"/>
          <w:szCs w:val="24"/>
          <w:lang w:val="en-US" w:eastAsia="zh-CN"/>
        </w:rPr>
        <w:t>企业</w:t>
      </w:r>
      <w:r>
        <w:rPr>
          <w:rFonts w:hint="eastAsia" w:ascii="宋体" w:hAnsi="宋体"/>
          <w:sz w:val="24"/>
          <w:szCs w:val="24"/>
        </w:rPr>
        <w:t>的能源计量器具准确度等级：</w:t>
      </w:r>
      <w:r>
        <w:rPr>
          <w:rFonts w:hint="eastAsia" w:ascii="宋体" w:hAnsi="宋体"/>
          <w:sz w:val="24"/>
          <w:szCs w:val="24"/>
          <w:lang w:val="en-US" w:eastAsia="zh-CN"/>
        </w:rPr>
        <w:t>2.0</w:t>
      </w:r>
      <w:r>
        <w:rPr>
          <w:rFonts w:hint="eastAsia" w:ascii="宋体" w:hAnsi="宋体"/>
          <w:sz w:val="24"/>
          <w:szCs w:val="24"/>
        </w:rPr>
        <w:t>级的三相</w:t>
      </w:r>
      <w:r>
        <w:rPr>
          <w:rFonts w:hint="eastAsia" w:ascii="宋体" w:hAnsi="宋体"/>
          <w:sz w:val="24"/>
          <w:szCs w:val="24"/>
          <w:lang w:val="en-US" w:eastAsia="zh-CN"/>
        </w:rPr>
        <w:t>三</w:t>
      </w:r>
      <w:r>
        <w:rPr>
          <w:rFonts w:hint="eastAsia" w:ascii="宋体" w:hAnsi="宋体"/>
          <w:sz w:val="24"/>
          <w:szCs w:val="24"/>
        </w:rPr>
        <w:t>线</w:t>
      </w:r>
      <w:r>
        <w:rPr>
          <w:rFonts w:hint="eastAsia" w:ascii="宋体" w:hAnsi="宋体"/>
          <w:sz w:val="24"/>
          <w:szCs w:val="24"/>
          <w:lang w:val="en-US" w:eastAsia="zh-CN"/>
        </w:rPr>
        <w:t>电子式</w:t>
      </w:r>
      <w:r>
        <w:rPr>
          <w:rFonts w:hint="eastAsia" w:ascii="宋体" w:hAnsi="宋体"/>
          <w:sz w:val="24"/>
          <w:szCs w:val="24"/>
        </w:rPr>
        <w:t>电能表</w:t>
      </w:r>
      <w:r>
        <w:rPr>
          <w:rFonts w:hint="eastAsia" w:ascii="宋体" w:hAnsi="宋体"/>
          <w:sz w:val="24"/>
          <w:szCs w:val="24"/>
          <w:lang w:val="en-US" w:eastAsia="zh-CN"/>
        </w:rPr>
        <w:t>1块</w:t>
      </w:r>
      <w:r>
        <w:rPr>
          <w:rFonts w:hint="eastAsia" w:ascii="宋体" w:hAnsi="宋体"/>
          <w:sz w:val="24"/>
          <w:szCs w:val="24"/>
        </w:rPr>
        <w:t>和</w:t>
      </w:r>
      <w:r>
        <w:rPr>
          <w:rFonts w:hint="eastAsia" w:ascii="宋体" w:hAnsi="宋体"/>
          <w:sz w:val="24"/>
          <w:szCs w:val="24"/>
          <w:lang w:val="en-US" w:eastAsia="zh-CN"/>
        </w:rPr>
        <w:t>2.5</w:t>
      </w:r>
      <w:r>
        <w:rPr>
          <w:rFonts w:hint="eastAsia" w:ascii="宋体" w:hAnsi="宋体"/>
          <w:sz w:val="24"/>
          <w:szCs w:val="24"/>
        </w:rPr>
        <w:t>级的水表，满足GB17167标准4.3.8表4的要求企业能源计量器具共有2台，已编入了测量设备管理目录，能源计量器具配备率符合GB17167－2006的要求。能源数据每月抄表，能源报表数据可追溯到现场测试记录，满</w:t>
      </w:r>
      <w:r>
        <w:rPr>
          <w:rFonts w:hint="eastAsia" w:ascii="宋体" w:hAnsi="宋体"/>
          <w:sz w:val="24"/>
          <w:szCs w:val="24"/>
          <w:shd w:val="clear" w:color="auto" w:fill="auto"/>
        </w:rPr>
        <w:t>足要求。</w:t>
      </w:r>
    </w:p>
    <w:p>
      <w:pPr>
        <w:numPr>
          <w:ilvl w:val="0"/>
          <w:numId w:val="0"/>
        </w:numPr>
        <w:snapToGrid w:val="0"/>
        <w:spacing w:line="400" w:lineRule="exact"/>
        <w:ind w:right="-512" w:rightChars="-244" w:firstLine="480" w:firstLineChars="200"/>
        <w:rPr>
          <w:rFonts w:hint="eastAsia" w:ascii="宋体" w:hAnsi="宋体"/>
          <w:sz w:val="24"/>
          <w:szCs w:val="24"/>
        </w:rPr>
      </w:pPr>
      <w:r>
        <w:rPr>
          <w:rFonts w:hint="eastAsia" w:ascii="宋体" w:hAnsi="宋体"/>
          <w:sz w:val="24"/>
          <w:szCs w:val="24"/>
        </w:rPr>
        <w:t>综上所述，审核组认为</w:t>
      </w:r>
      <w:r>
        <w:rPr>
          <w:rFonts w:hint="eastAsia" w:ascii="宋体" w:hAnsi="宋体"/>
          <w:sz w:val="24"/>
          <w:szCs w:val="24"/>
          <w:lang w:eastAsia="zh-CN"/>
        </w:rPr>
        <w:t>山东胜利通海集团东营天蓝节能科技有限公司</w:t>
      </w:r>
      <w:r>
        <w:rPr>
          <w:rFonts w:hint="eastAsia" w:ascii="宋体" w:hAnsi="宋体"/>
          <w:sz w:val="24"/>
          <w:szCs w:val="24"/>
        </w:rPr>
        <w:t>测量管理体系，符合GB/T 19022-2003标准要求，对体系运行具有持续的有效性、符合性予以肯定。建议报请国标联合认证有限公司批准通过监督审核。</w:t>
      </w:r>
    </w:p>
    <w:p>
      <w:pPr>
        <w:snapToGrid w:val="0"/>
        <w:spacing w:line="400" w:lineRule="exact"/>
        <w:ind w:right="-512" w:rightChars="-244" w:firstLine="48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另为了促进支持企业测量管理体系持续提高，建议企业对测量设备台账中存在的问题</w:t>
      </w:r>
      <w:r>
        <w:rPr>
          <w:rFonts w:hint="eastAsia" w:ascii="宋体" w:hAnsi="宋体" w:eastAsia="宋体" w:cs="Times New Roman"/>
          <w:sz w:val="24"/>
          <w:szCs w:val="24"/>
          <w:highlight w:val="none"/>
        </w:rPr>
        <w:t>进一步</w:t>
      </w:r>
      <w:r>
        <w:rPr>
          <w:rFonts w:hint="eastAsia" w:ascii="宋体" w:hAnsi="宋体" w:eastAsia="宋体" w:cs="Times New Roman"/>
          <w:sz w:val="24"/>
          <w:szCs w:val="24"/>
          <w:highlight w:val="none"/>
          <w:lang w:val="en-US" w:eastAsia="zh-CN"/>
        </w:rPr>
        <w:t>完善</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各个部门之间协调配合，帐物相符，现场测量设备标识统一管理清晰完整，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bookmarkStart w:id="1" w:name="_GoBack"/>
      <w:bookmarkEnd w:id="1"/>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szCs w:val="21"/>
      </w:rPr>
      <w:t xml:space="preserve">   </w:t>
    </w:r>
    <w:r>
      <w:rPr>
        <w:rStyle w:val="8"/>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8"/>
        <w:rFonts w:hint="default" w:ascii="Times New Roman" w:hAnsi="Times New Roman" w:cs="Times New Roman"/>
        <w:szCs w:val="21"/>
      </w:rPr>
      <w:t xml:space="preserve">   </w:t>
    </w:r>
    <w:r>
      <w:rPr>
        <w:rStyle w:val="8"/>
        <w:rFonts w:hint="default" w:ascii="Times New Roman" w:hAnsi="Times New Roman" w:cs="Times New Roman"/>
        <w:w w:val="80"/>
        <w:szCs w:val="21"/>
      </w:rPr>
      <w:t xml:space="preserve">Beijing International Standard united Certification Co.,Ltd. </w:t>
    </w:r>
    <w:r>
      <w:rPr>
        <w:rStyle w:val="8"/>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7232CA8"/>
    <w:rsid w:val="0BF45514"/>
    <w:rsid w:val="0E1848A4"/>
    <w:rsid w:val="114F2918"/>
    <w:rsid w:val="116C1DF1"/>
    <w:rsid w:val="14575BEE"/>
    <w:rsid w:val="14F5656A"/>
    <w:rsid w:val="1BF97ACC"/>
    <w:rsid w:val="1D5E1F47"/>
    <w:rsid w:val="208300F1"/>
    <w:rsid w:val="20B759A8"/>
    <w:rsid w:val="23881FD2"/>
    <w:rsid w:val="267B10B4"/>
    <w:rsid w:val="27554591"/>
    <w:rsid w:val="2B620E8B"/>
    <w:rsid w:val="2CDE2CC8"/>
    <w:rsid w:val="301865E4"/>
    <w:rsid w:val="33367E99"/>
    <w:rsid w:val="399127DB"/>
    <w:rsid w:val="39FD02F2"/>
    <w:rsid w:val="3AB05C84"/>
    <w:rsid w:val="3BB67694"/>
    <w:rsid w:val="3DDE2E89"/>
    <w:rsid w:val="3E11107E"/>
    <w:rsid w:val="3E9E7372"/>
    <w:rsid w:val="3EC25B56"/>
    <w:rsid w:val="45B221B1"/>
    <w:rsid w:val="49C14E74"/>
    <w:rsid w:val="4BB74B27"/>
    <w:rsid w:val="4EE2042F"/>
    <w:rsid w:val="4FF60B62"/>
    <w:rsid w:val="51AE4D4F"/>
    <w:rsid w:val="51C16409"/>
    <w:rsid w:val="52970D75"/>
    <w:rsid w:val="532568FB"/>
    <w:rsid w:val="547533AA"/>
    <w:rsid w:val="54BE00EA"/>
    <w:rsid w:val="55C92FC9"/>
    <w:rsid w:val="58082CF0"/>
    <w:rsid w:val="59E21B4E"/>
    <w:rsid w:val="5A6C0669"/>
    <w:rsid w:val="5BA410AD"/>
    <w:rsid w:val="5DD926D6"/>
    <w:rsid w:val="5E54439D"/>
    <w:rsid w:val="61A667FC"/>
    <w:rsid w:val="62110E4F"/>
    <w:rsid w:val="62F63730"/>
    <w:rsid w:val="6341412A"/>
    <w:rsid w:val="63D305F7"/>
    <w:rsid w:val="63FE3C6D"/>
    <w:rsid w:val="661170A4"/>
    <w:rsid w:val="6AA365E7"/>
    <w:rsid w:val="6C3E7752"/>
    <w:rsid w:val="6E1A4BBF"/>
    <w:rsid w:val="70096BA1"/>
    <w:rsid w:val="707F0D4F"/>
    <w:rsid w:val="732C79F0"/>
    <w:rsid w:val="74832446"/>
    <w:rsid w:val="7565381D"/>
    <w:rsid w:val="7BC00E38"/>
    <w:rsid w:val="7D07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2</TotalTime>
  <ScaleCrop>false</ScaleCrop>
  <LinksUpToDate>false</LinksUpToDate>
  <CharactersWithSpaces>748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2020-09-21T02:51:00Z</cp:lastPrinted>
  <dcterms:modified xsi:type="dcterms:W3CDTF">2020-10-30T02:57:45Z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