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技术质量</w:t>
            </w:r>
            <w:r>
              <w:rPr>
                <w:rFonts w:hint="eastAsia"/>
                <w:sz w:val="24"/>
                <w:szCs w:val="24"/>
                <w:lang w:eastAsia="zh-CN"/>
              </w:rPr>
              <w:t>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rPr>
              <w:t>杨正平</w:t>
            </w:r>
            <w:r>
              <w:rPr>
                <w:rFonts w:hint="eastAsia" w:ascii="宋体" w:hAnsi="宋体"/>
                <w:szCs w:val="21"/>
                <w:lang w:val="en-US" w:eastAsia="zh-CN"/>
              </w:rPr>
              <w:t xml:space="preserve">      </w:t>
            </w:r>
            <w:r>
              <w:rPr>
                <w:rFonts w:hint="eastAsia"/>
                <w:sz w:val="24"/>
                <w:szCs w:val="24"/>
              </w:rPr>
              <w:t>陪同人员</w:t>
            </w:r>
            <w:r>
              <w:rPr>
                <w:rFonts w:hint="eastAsia"/>
                <w:sz w:val="24"/>
                <w:szCs w:val="24"/>
                <w:lang w:eastAsia="zh-CN"/>
              </w:rPr>
              <w:t>：</w:t>
            </w:r>
            <w:r>
              <w:rPr>
                <w:rFonts w:hint="eastAsia"/>
              </w:rPr>
              <w:t>汤文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sz w:val="20"/>
              </w:rPr>
              <w:t>陈俊</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2020.12.1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 w:val="24"/>
                <w:szCs w:val="24"/>
              </w:rPr>
            </w:pPr>
            <w:r>
              <w:rPr>
                <w:rFonts w:hint="eastAsia"/>
                <w:sz w:val="24"/>
                <w:szCs w:val="24"/>
              </w:rPr>
              <w:t>审核条款：</w:t>
            </w:r>
          </w:p>
          <w:p>
            <w:pPr>
              <w:rPr>
                <w:sz w:val="24"/>
                <w:szCs w:val="24"/>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Times New Roman" w:hAnsi="Times New Roman" w:eastAsia="宋体" w:cs="Lucida Sans"/>
                <w:b/>
                <w:szCs w:val="20"/>
              </w:rPr>
              <w:t>职责和权限</w:t>
            </w:r>
          </w:p>
        </w:tc>
        <w:tc>
          <w:tcPr>
            <w:tcW w:w="960" w:type="dxa"/>
            <w:vAlign w:val="center"/>
          </w:tcPr>
          <w:p>
            <w:pPr>
              <w:spacing w:line="360" w:lineRule="exact"/>
              <w:rPr>
                <w:szCs w:val="21"/>
              </w:rPr>
            </w:pPr>
            <w:r>
              <w:rPr>
                <w:rFonts w:hint="eastAsia"/>
                <w:szCs w:val="21"/>
              </w:rPr>
              <w:t>E</w:t>
            </w:r>
            <w:r>
              <w:rPr>
                <w:rFonts w:hint="eastAsia"/>
                <w:szCs w:val="21"/>
                <w:lang w:val="en-US" w:eastAsia="zh-CN"/>
              </w:rPr>
              <w:t>S</w:t>
            </w:r>
            <w:r>
              <w:rPr>
                <w:rFonts w:hint="eastAsia"/>
                <w:szCs w:val="21"/>
              </w:rPr>
              <w:t>5.3</w:t>
            </w:r>
          </w:p>
          <w:p/>
        </w:tc>
        <w:tc>
          <w:tcPr>
            <w:tcW w:w="100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负责辨识本部门的法律、法规及其他要求的获取及识别其适用性，</w:t>
            </w:r>
          </w:p>
          <w:p>
            <w:pPr>
              <w:pStyle w:val="2"/>
              <w:rPr>
                <w:rFonts w:hint="eastAsia" w:ascii="宋体" w:hAnsi="宋体" w:cs="宋体"/>
                <w:color w:val="auto"/>
                <w:sz w:val="21"/>
                <w:szCs w:val="21"/>
                <w:lang w:eastAsia="zh-CN"/>
              </w:rPr>
            </w:pPr>
            <w:r>
              <w:rPr>
                <w:rFonts w:hint="eastAsia" w:ascii="宋体" w:hAnsi="宋体" w:cs="宋体"/>
                <w:color w:val="auto"/>
                <w:sz w:val="21"/>
                <w:szCs w:val="21"/>
                <w:lang w:eastAsia="zh-CN"/>
              </w:rPr>
              <w:t>负责本部门相关方的识别及管理工作</w:t>
            </w:r>
          </w:p>
          <w:p>
            <w:pPr>
              <w:ind w:firstLine="420" w:firstLineChars="200"/>
            </w:pPr>
            <w:r>
              <w:rPr>
                <w:rFonts w:hint="eastAsia" w:ascii="宋体" w:hAnsi="宋体" w:cs="宋体"/>
                <w:color w:val="auto"/>
                <w:sz w:val="21"/>
                <w:szCs w:val="21"/>
                <w:lang w:eastAsia="zh-CN"/>
              </w:rPr>
              <w:t>参与公司应急预案及演练工作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ascii="Times New Roman" w:hAnsi="Times New Roman" w:eastAsia="宋体" w:cs="Lucida Sans"/>
                <w:b/>
                <w:szCs w:val="20"/>
              </w:rPr>
              <w:t>目标分解及考核，目标指标及管理方案</w:t>
            </w:r>
          </w:p>
        </w:tc>
        <w:tc>
          <w:tcPr>
            <w:tcW w:w="960" w:type="dxa"/>
            <w:vAlign w:val="center"/>
          </w:tcPr>
          <w:p>
            <w:pPr>
              <w:rPr>
                <w:rFonts w:ascii="Times New Roman" w:hAnsi="Times New Roman" w:eastAsia="宋体" w:cs="Lucida Sans"/>
                <w:b/>
                <w:szCs w:val="20"/>
              </w:rPr>
            </w:pPr>
          </w:p>
          <w:p>
            <w:pPr>
              <w:rPr>
                <w:rFonts w:ascii="Times New Roman" w:hAnsi="Times New Roman" w:eastAsia="宋体" w:cs="Lucida Sans"/>
                <w:b/>
                <w:szCs w:val="20"/>
              </w:rPr>
            </w:pPr>
            <w:r>
              <w:rPr>
                <w:rFonts w:ascii="Times New Roman" w:hAnsi="Times New Roman" w:eastAsia="宋体" w:cs="Lucida Sans"/>
                <w:b/>
                <w:szCs w:val="20"/>
              </w:rPr>
              <w:t>E</w:t>
            </w:r>
            <w:r>
              <w:rPr>
                <w:rFonts w:hint="eastAsia" w:cs="Lucida Sans"/>
                <w:b/>
                <w:szCs w:val="20"/>
                <w:lang w:val="en-US" w:eastAsia="zh-CN"/>
              </w:rPr>
              <w:t>S</w:t>
            </w:r>
            <w:r>
              <w:rPr>
                <w:rFonts w:ascii="Times New Roman" w:hAnsi="Times New Roman" w:eastAsia="宋体" w:cs="Lucida Sans"/>
                <w:b/>
                <w:szCs w:val="20"/>
              </w:rPr>
              <w:t>6.2</w:t>
            </w:r>
          </w:p>
          <w:p/>
        </w:tc>
        <w:tc>
          <w:tcPr>
            <w:tcW w:w="10004" w:type="dxa"/>
          </w:tcPr>
          <w:p>
            <w:pPr>
              <w:rPr>
                <w:rFonts w:ascii="Times New Roman" w:hAnsi="Times New Roman" w:eastAsia="宋体" w:cs="Lucida Sans"/>
                <w:b/>
                <w:szCs w:val="20"/>
              </w:rPr>
            </w:pPr>
            <w:r>
              <w:rPr>
                <w:rFonts w:hint="eastAsia" w:ascii="Times New Roman" w:hAnsi="Times New Roman" w:eastAsia="宋体" w:cs="Lucida Sans"/>
                <w:b/>
                <w:szCs w:val="20"/>
              </w:rPr>
              <w:t>部门分解的质量目标：</w:t>
            </w:r>
            <w:r>
              <w:rPr>
                <w:rFonts w:hint="eastAsia" w:ascii="Times New Roman" w:hAnsi="Times New Roman" w:eastAsia="宋体" w:cs="Lucida Sans"/>
                <w:b/>
                <w:color w:val="FF0000"/>
                <w:szCs w:val="20"/>
              </w:rPr>
              <w:t xml:space="preserve"> </w:t>
            </w:r>
            <w:r>
              <w:rPr>
                <w:rFonts w:hint="eastAsia" w:cs="Lucida Sans"/>
                <w:b/>
                <w:color w:val="FF0000"/>
                <w:szCs w:val="20"/>
                <w:lang w:val="en-US" w:eastAsia="zh-CN"/>
              </w:rPr>
              <w:t xml:space="preserve">            </w:t>
            </w:r>
            <w:r>
              <w:rPr>
                <w:rFonts w:hint="eastAsia" w:ascii="Times New Roman" w:hAnsi="Times New Roman" w:eastAsia="宋体" w:cs="Lucida Sans"/>
                <w:b/>
                <w:szCs w:val="20"/>
              </w:rPr>
              <w:t>考核结果</w:t>
            </w:r>
          </w:p>
          <w:p>
            <w:pPr>
              <w:ind w:firstLine="420" w:firstLineChars="200"/>
              <w:rPr>
                <w:rFonts w:hint="eastAsia"/>
                <w:b w:val="0"/>
                <w:bCs w:val="0"/>
                <w:sz w:val="21"/>
                <w:szCs w:val="22"/>
              </w:rPr>
            </w:pPr>
            <w:r>
              <w:rPr>
                <w:rFonts w:hint="eastAsia"/>
                <w:b w:val="0"/>
                <w:bCs w:val="0"/>
                <w:sz w:val="21"/>
                <w:szCs w:val="22"/>
              </w:rPr>
              <w:t>固体废弃物分类</w:t>
            </w:r>
            <w:r>
              <w:rPr>
                <w:rFonts w:hint="eastAsia"/>
                <w:b w:val="0"/>
                <w:bCs w:val="0"/>
                <w:sz w:val="21"/>
                <w:szCs w:val="22"/>
                <w:lang w:eastAsia="zh-CN"/>
              </w:rPr>
              <w:t>处理</w:t>
            </w:r>
            <w:r>
              <w:rPr>
                <w:rFonts w:hint="eastAsia"/>
                <w:b w:val="0"/>
                <w:bCs w:val="0"/>
                <w:sz w:val="21"/>
                <w:szCs w:val="22"/>
              </w:rPr>
              <w:t>率100%；           100%</w:t>
            </w:r>
          </w:p>
          <w:p>
            <w:pPr>
              <w:ind w:firstLine="420" w:firstLineChars="200"/>
              <w:rPr>
                <w:rFonts w:hint="default" w:ascii="Times New Roman" w:hAnsi="Times New Roman"/>
                <w:b w:val="0"/>
                <w:bCs w:val="0"/>
                <w:sz w:val="21"/>
                <w:szCs w:val="22"/>
                <w:lang w:val="en-US" w:eastAsia="zh-CN"/>
              </w:rPr>
            </w:pPr>
            <w:r>
              <w:rPr>
                <w:rFonts w:hint="eastAsia"/>
                <w:b w:val="0"/>
                <w:bCs w:val="0"/>
                <w:sz w:val="21"/>
                <w:szCs w:val="22"/>
                <w:lang w:eastAsia="zh-CN"/>
              </w:rPr>
              <w:t>环</w:t>
            </w:r>
            <w:r>
              <w:rPr>
                <w:rFonts w:hint="eastAsia" w:ascii="Times New Roman" w:hAnsi="Times New Roman"/>
                <w:b w:val="0"/>
                <w:bCs w:val="0"/>
                <w:sz w:val="21"/>
                <w:szCs w:val="22"/>
                <w:lang w:eastAsia="zh-CN"/>
              </w:rPr>
              <w:t>保无投诉</w:t>
            </w:r>
            <w:r>
              <w:rPr>
                <w:rFonts w:hint="eastAsia" w:ascii="Times New Roman" w:hAnsi="Times New Roman"/>
                <w:b w:val="0"/>
                <w:bCs w:val="0"/>
                <w:sz w:val="21"/>
                <w:szCs w:val="22"/>
                <w:lang w:val="en-US" w:eastAsia="zh-CN"/>
              </w:rPr>
              <w:t xml:space="preserve">                           无投诉</w:t>
            </w:r>
          </w:p>
          <w:p>
            <w:pPr>
              <w:ind w:firstLine="420" w:firstLineChars="200"/>
              <w:rPr>
                <w:rFonts w:hint="default" w:ascii="Times New Roman" w:hAnsi="Times New Roman"/>
                <w:b w:val="0"/>
                <w:bCs w:val="0"/>
                <w:sz w:val="21"/>
                <w:szCs w:val="22"/>
                <w:lang w:val="en-US" w:eastAsia="zh-CN"/>
              </w:rPr>
            </w:pPr>
            <w:r>
              <w:rPr>
                <w:rFonts w:hint="eastAsia" w:ascii="Times New Roman" w:hAnsi="Times New Roman"/>
                <w:b w:val="0"/>
                <w:bCs w:val="0"/>
                <w:sz w:val="21"/>
                <w:szCs w:val="22"/>
              </w:rPr>
              <w:t>重大伤亡和重大火灾事故为零</w:t>
            </w:r>
            <w:r>
              <w:rPr>
                <w:rFonts w:hint="eastAsia" w:ascii="Times New Roman" w:hAnsi="Times New Roman"/>
                <w:b w:val="0"/>
                <w:bCs w:val="0"/>
                <w:sz w:val="21"/>
                <w:szCs w:val="22"/>
                <w:lang w:val="en-US" w:eastAsia="zh-CN"/>
              </w:rPr>
              <w:t xml:space="preserve">               0</w:t>
            </w:r>
          </w:p>
          <w:p>
            <w:pPr>
              <w:rPr>
                <w:rFonts w:ascii="Times New Roman" w:hAnsi="Times New Roman" w:eastAsia="宋体" w:cs="Lucida Sans"/>
                <w:b/>
                <w:szCs w:val="20"/>
              </w:rPr>
            </w:pPr>
            <w:r>
              <w:rPr>
                <w:rFonts w:hint="eastAsia" w:cs="Lucida Sans"/>
                <w:b/>
                <w:szCs w:val="20"/>
                <w:lang w:val="en-US" w:eastAsia="zh-CN"/>
              </w:rPr>
              <w:t>提供2020年第二、三季度考核统计，目标均完成，</w:t>
            </w:r>
            <w:r>
              <w:rPr>
                <w:rFonts w:hint="eastAsia" w:ascii="Times New Roman" w:hAnsi="Times New Roman" w:eastAsia="宋体" w:cs="Lucida Sans"/>
                <w:b/>
                <w:szCs w:val="20"/>
              </w:rPr>
              <w:t>考核人：</w:t>
            </w:r>
            <w:r>
              <w:rPr>
                <w:rFonts w:hint="eastAsia"/>
              </w:rPr>
              <w:t>杨瑞</w:t>
            </w:r>
            <w:r>
              <w:rPr>
                <w:rFonts w:hint="eastAsia" w:ascii="Times New Roman" w:hAnsi="Times New Roman" w:eastAsia="宋体" w:cs="Lucida Sans"/>
                <w:b/>
                <w:szCs w:val="20"/>
              </w:rPr>
              <w:t>，目标适宜。</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对可回收废弃物、危险废弃物分类管理，并集中收集和处理，完成了部门该项环境目标和指标。</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无任何安全事故发生，完成了部门该项职业健康安全目标。</w:t>
            </w:r>
          </w:p>
          <w:p>
            <w:pPr>
              <w:ind w:firstLine="420" w:firstLineChars="200"/>
              <w:rPr>
                <w:rFonts w:hint="eastAsia"/>
                <w:b w:val="0"/>
                <w:bCs w:val="0"/>
                <w:sz w:val="21"/>
                <w:szCs w:val="21"/>
              </w:rPr>
            </w:pPr>
            <w:r>
              <w:rPr>
                <w:rFonts w:hint="eastAsia"/>
                <w:b w:val="0"/>
                <w:bCs w:val="0"/>
                <w:sz w:val="21"/>
                <w:szCs w:val="21"/>
              </w:rPr>
              <w:t>按照季度进行考核，提供了</w:t>
            </w:r>
            <w:r>
              <w:rPr>
                <w:rFonts w:hint="eastAsia"/>
                <w:b w:val="0"/>
                <w:bCs w:val="0"/>
                <w:sz w:val="21"/>
                <w:szCs w:val="21"/>
                <w:lang w:val="en-US" w:eastAsia="zh-CN"/>
              </w:rPr>
              <w:t>2020.9月份</w:t>
            </w:r>
            <w:r>
              <w:rPr>
                <w:rFonts w:hint="eastAsia"/>
                <w:b w:val="0"/>
                <w:bCs w:val="0"/>
                <w:sz w:val="21"/>
                <w:szCs w:val="21"/>
              </w:rPr>
              <w:t>目标考核表，</w:t>
            </w:r>
          </w:p>
          <w:p>
            <w:pPr>
              <w:ind w:firstLine="420" w:firstLineChars="200"/>
              <w:rPr>
                <w:rFonts w:hint="eastAsia"/>
                <w:b w:val="0"/>
                <w:bCs w:val="0"/>
                <w:sz w:val="21"/>
                <w:szCs w:val="21"/>
              </w:rPr>
            </w:pPr>
            <w:r>
              <w:rPr>
                <w:rFonts w:hint="eastAsia"/>
                <w:b w:val="0"/>
                <w:bCs w:val="0"/>
                <w:sz w:val="21"/>
                <w:szCs w:val="21"/>
              </w:rPr>
              <w:t>经查显示目标均已完成。</w:t>
            </w:r>
          </w:p>
          <w:p>
            <w:pPr>
              <w:ind w:firstLine="420" w:firstLineChars="200"/>
              <w:rPr>
                <w:rFonts w:hint="eastAsia"/>
                <w:b w:val="0"/>
                <w:bCs w:val="0"/>
                <w:sz w:val="21"/>
                <w:szCs w:val="21"/>
              </w:rPr>
            </w:pPr>
            <w:r>
              <w:rPr>
                <w:rFonts w:hint="eastAsia"/>
                <w:b w:val="0"/>
                <w:bCs w:val="0"/>
                <w:sz w:val="21"/>
                <w:szCs w:val="21"/>
              </w:rPr>
              <w:t>对以上的目标指标制定了管理方案：</w:t>
            </w:r>
          </w:p>
          <w:p>
            <w:pPr>
              <w:ind w:left="210" w:leftChars="100" w:firstLine="210" w:firstLineChars="100"/>
              <w:rPr>
                <w:rFonts w:ascii="宋体" w:hAnsi="宋体" w:cs="宋体"/>
                <w:b w:val="0"/>
                <w:bCs w:val="0"/>
                <w:sz w:val="21"/>
                <w:szCs w:val="21"/>
              </w:rPr>
            </w:pPr>
            <w:r>
              <w:rPr>
                <w:rFonts w:hint="eastAsia" w:ascii="宋体" w:hAnsi="宋体" w:cs="宋体"/>
                <w:b w:val="0"/>
                <w:bCs w:val="0"/>
                <w:sz w:val="21"/>
                <w:szCs w:val="21"/>
              </w:rPr>
              <w:t>环境和职业健康安全体系建立了管理方案，查管理方案表，共</w:t>
            </w:r>
            <w:r>
              <w:rPr>
                <w:rFonts w:ascii="宋体" w:hAnsi="宋体" w:cs="宋体"/>
                <w:b w:val="0"/>
                <w:bCs w:val="0"/>
                <w:sz w:val="21"/>
                <w:szCs w:val="21"/>
              </w:rPr>
              <w:t>3</w:t>
            </w:r>
            <w:r>
              <w:rPr>
                <w:rFonts w:hint="eastAsia" w:ascii="宋体" w:hAnsi="宋体" w:cs="宋体"/>
                <w:b w:val="0"/>
                <w:bCs w:val="0"/>
                <w:sz w:val="21"/>
                <w:szCs w:val="21"/>
              </w:rPr>
              <w:t>项： 1、办公用硒鼓、墨盒等固废；</w:t>
            </w:r>
            <w:r>
              <w:rPr>
                <w:rFonts w:hint="eastAsia" w:ascii="宋体" w:hAnsi="宋体" w:cs="宋体"/>
                <w:b w:val="0"/>
                <w:bCs w:val="0"/>
                <w:sz w:val="21"/>
                <w:szCs w:val="21"/>
                <w:lang w:eastAsia="zh-CN"/>
              </w:rPr>
              <w:t>办公</w:t>
            </w:r>
            <w:r>
              <w:rPr>
                <w:rFonts w:hint="eastAsia" w:ascii="宋体" w:hAnsi="宋体" w:cs="宋体"/>
                <w:b w:val="0"/>
                <w:bCs w:val="0"/>
                <w:sz w:val="21"/>
                <w:szCs w:val="21"/>
              </w:rPr>
              <w:t>废弃物等分类收集保管，交由相应部门处置；</w:t>
            </w:r>
          </w:p>
          <w:p>
            <w:pPr>
              <w:ind w:firstLine="420" w:firstLineChars="200"/>
              <w:rPr>
                <w:rFonts w:hint="eastAsia"/>
                <w:b w:val="0"/>
                <w:bCs w:val="0"/>
                <w:sz w:val="21"/>
                <w:szCs w:val="21"/>
              </w:rPr>
            </w:pPr>
            <w:r>
              <w:rPr>
                <w:rFonts w:hint="eastAsia" w:ascii="宋体" w:hAnsi="宋体" w:cs="宋体"/>
                <w:b w:val="0"/>
                <w:bCs w:val="0"/>
                <w:sz w:val="21"/>
                <w:szCs w:val="21"/>
              </w:rPr>
              <w:t>2、杜绝火灾发生，制定了管理方案:</w:t>
            </w:r>
            <w:r>
              <w:rPr>
                <w:rFonts w:hint="eastAsia"/>
                <w:b w:val="0"/>
                <w:bCs w:val="0"/>
              </w:rPr>
              <w:t xml:space="preserve"> </w:t>
            </w:r>
            <w:r>
              <w:rPr>
                <w:rFonts w:hint="eastAsia" w:ascii="宋体" w:hAnsi="宋体" w:cs="宋体"/>
                <w:b w:val="0"/>
                <w:bCs w:val="0"/>
                <w:sz w:val="21"/>
                <w:szCs w:val="21"/>
              </w:rPr>
              <w:t>制定3项管理方案：.制定相应的管理制度并严格执行，配备必要的防火设施（包括灭火器</w:t>
            </w:r>
            <w:r>
              <w:rPr>
                <w:rFonts w:ascii="宋体" w:hAnsi="宋体" w:cs="宋体"/>
                <w:b w:val="0"/>
                <w:bCs w:val="0"/>
                <w:sz w:val="21"/>
                <w:szCs w:val="21"/>
              </w:rPr>
              <w:t>a</w:t>
            </w:r>
            <w:r>
              <w:rPr>
                <w:rFonts w:hint="eastAsia" w:ascii="宋体" w:hAnsi="宋体" w:cs="宋体"/>
                <w:b w:val="0"/>
                <w:bCs w:val="0"/>
                <w:sz w:val="21"/>
                <w:szCs w:val="21"/>
              </w:rPr>
              <w:t>、消防栓等）</w:t>
            </w:r>
            <w:r>
              <w:rPr>
                <w:rFonts w:hint="eastAsia"/>
                <w:b w:val="0"/>
                <w:bCs w:val="0"/>
                <w:sz w:val="21"/>
                <w:szCs w:val="21"/>
              </w:rPr>
              <w:t>并保证其完好</w:t>
            </w:r>
          </w:p>
          <w:p>
            <w:pPr>
              <w:ind w:firstLine="420" w:firstLineChars="200"/>
              <w:rPr>
                <w:rFonts w:hint="eastAsia"/>
                <w:b w:val="0"/>
                <w:bCs w:val="0"/>
                <w:sz w:val="21"/>
                <w:szCs w:val="21"/>
              </w:rPr>
            </w:pPr>
            <w:r>
              <w:rPr>
                <w:rFonts w:hint="eastAsia"/>
                <w:b w:val="0"/>
                <w:bCs w:val="0"/>
                <w:sz w:val="21"/>
                <w:szCs w:val="21"/>
              </w:rPr>
              <w:t>b. 成立应急响应工作小组（见《应急预案》）</w:t>
            </w:r>
          </w:p>
          <w:p>
            <w:pPr>
              <w:ind w:firstLine="420" w:firstLineChars="200"/>
              <w:rPr>
                <w:rFonts w:hint="default"/>
                <w:b w:val="0"/>
                <w:bCs w:val="0"/>
                <w:sz w:val="21"/>
                <w:szCs w:val="21"/>
                <w:lang w:val="en-US"/>
              </w:rPr>
            </w:pPr>
            <w:r>
              <w:rPr>
                <w:rFonts w:hint="eastAsia"/>
                <w:b w:val="0"/>
                <w:bCs w:val="0"/>
                <w:sz w:val="21"/>
                <w:szCs w:val="21"/>
              </w:rPr>
              <w:t>c. 淘汰过期、报废设备,对灭火器更新；每年进行一次消防演习。执行部门：各部门，检查人：</w:t>
            </w:r>
            <w:r>
              <w:rPr>
                <w:rFonts w:hint="eastAsia" w:ascii="宋体" w:hAnsi="宋体"/>
                <w:szCs w:val="21"/>
                <w:lang w:eastAsia="zh-CN"/>
              </w:rPr>
              <w:t>杨瑞</w:t>
            </w:r>
            <w:r>
              <w:rPr>
                <w:rFonts w:hint="eastAsia"/>
                <w:b w:val="0"/>
                <w:bCs w:val="0"/>
                <w:sz w:val="21"/>
                <w:szCs w:val="21"/>
              </w:rPr>
              <w:t>，资金投入</w:t>
            </w:r>
            <w:r>
              <w:rPr>
                <w:rFonts w:hint="eastAsia"/>
                <w:b w:val="0"/>
                <w:bCs w:val="0"/>
                <w:sz w:val="21"/>
                <w:szCs w:val="21"/>
                <w:lang w:val="en-US" w:eastAsia="zh-CN"/>
              </w:rPr>
              <w:t>5000</w:t>
            </w:r>
            <w:r>
              <w:rPr>
                <w:rFonts w:hint="eastAsia"/>
                <w:b w:val="0"/>
                <w:bCs w:val="0"/>
                <w:sz w:val="21"/>
                <w:szCs w:val="21"/>
              </w:rPr>
              <w:t>元，</w:t>
            </w:r>
            <w:r>
              <w:rPr>
                <w:rFonts w:hint="eastAsia"/>
                <w:b w:val="0"/>
                <w:bCs w:val="0"/>
                <w:sz w:val="21"/>
                <w:szCs w:val="21"/>
                <w:lang w:eastAsia="zh-CN"/>
              </w:rPr>
              <w:t>责任</w:t>
            </w:r>
            <w:r>
              <w:rPr>
                <w:rFonts w:hint="eastAsia"/>
                <w:b w:val="0"/>
                <w:bCs w:val="0"/>
                <w:sz w:val="21"/>
                <w:szCs w:val="21"/>
              </w:rPr>
              <w:t>人：</w:t>
            </w:r>
            <w:r>
              <w:rPr>
                <w:rFonts w:hint="eastAsia"/>
              </w:rPr>
              <w:t>刘晓燕</w:t>
            </w:r>
            <w:r>
              <w:rPr>
                <w:rFonts w:hint="eastAsia"/>
              </w:rPr>
              <w:tab/>
            </w:r>
            <w:r>
              <w:rPr>
                <w:rFonts w:hint="eastAsia"/>
                <w:b w:val="0"/>
                <w:bCs w:val="0"/>
                <w:sz w:val="21"/>
                <w:szCs w:val="21"/>
              </w:rPr>
              <w:t>，执行日期：</w:t>
            </w:r>
            <w:r>
              <w:rPr>
                <w:rFonts w:hint="eastAsia"/>
                <w:b w:val="0"/>
                <w:bCs w:val="0"/>
                <w:sz w:val="21"/>
                <w:szCs w:val="21"/>
                <w:lang w:val="en-US" w:eastAsia="zh-CN"/>
              </w:rPr>
              <w:t>长期</w:t>
            </w:r>
          </w:p>
          <w:p>
            <w:pPr>
              <w:ind w:firstLine="420" w:firstLineChars="200"/>
              <w:rPr>
                <w:rFonts w:hint="eastAsia"/>
                <w:b w:val="0"/>
                <w:bCs w:val="0"/>
                <w:sz w:val="21"/>
                <w:szCs w:val="21"/>
              </w:rPr>
            </w:pPr>
            <w:r>
              <w:rPr>
                <w:rFonts w:hint="eastAsia"/>
                <w:b w:val="0"/>
                <w:bCs w:val="0"/>
                <w:sz w:val="21"/>
                <w:szCs w:val="21"/>
              </w:rPr>
              <w:t>3、电线老化引发火灾、临时接电触电,管理方案：a、电线检修                             b、对职工进行安全教育培训。</w:t>
            </w:r>
          </w:p>
          <w:p>
            <w:pPr>
              <w:ind w:firstLine="420" w:firstLineChars="200"/>
              <w:rPr>
                <w:rFonts w:hint="eastAsia"/>
                <w:b w:val="0"/>
                <w:bCs w:val="0"/>
                <w:sz w:val="21"/>
                <w:szCs w:val="21"/>
              </w:rPr>
            </w:pPr>
            <w:r>
              <w:rPr>
                <w:rFonts w:hint="eastAsia"/>
                <w:b w:val="0"/>
                <w:bCs w:val="0"/>
                <w:sz w:val="21"/>
                <w:szCs w:val="21"/>
              </w:rPr>
              <w:t>资金预算费</w:t>
            </w:r>
            <w:r>
              <w:rPr>
                <w:rFonts w:hint="eastAsia"/>
                <w:b w:val="0"/>
                <w:bCs w:val="0"/>
                <w:sz w:val="21"/>
                <w:szCs w:val="21"/>
                <w:lang w:val="en-US" w:eastAsia="zh-CN"/>
              </w:rPr>
              <w:t>1万</w:t>
            </w:r>
            <w:r>
              <w:rPr>
                <w:rFonts w:hint="eastAsia"/>
                <w:b w:val="0"/>
                <w:bCs w:val="0"/>
                <w:sz w:val="21"/>
                <w:szCs w:val="21"/>
              </w:rPr>
              <w:t>元，执行部门：各部门，</w:t>
            </w:r>
            <w:r>
              <w:rPr>
                <w:rFonts w:hint="eastAsia"/>
                <w:b w:val="0"/>
                <w:bCs w:val="0"/>
                <w:sz w:val="21"/>
                <w:szCs w:val="21"/>
                <w:lang w:eastAsia="zh-CN"/>
              </w:rPr>
              <w:t>责任</w:t>
            </w:r>
            <w:r>
              <w:rPr>
                <w:rFonts w:hint="eastAsia"/>
                <w:b w:val="0"/>
                <w:bCs w:val="0"/>
                <w:sz w:val="21"/>
                <w:szCs w:val="21"/>
              </w:rPr>
              <w:t>人：</w:t>
            </w:r>
            <w:r>
              <w:rPr>
                <w:rFonts w:hint="eastAsia" w:ascii="宋体" w:hAnsi="宋体"/>
                <w:szCs w:val="21"/>
              </w:rPr>
              <w:t>郭洪</w:t>
            </w:r>
            <w:r>
              <w:rPr>
                <w:rFonts w:hint="eastAsia"/>
                <w:b w:val="0"/>
                <w:bCs w:val="0"/>
                <w:sz w:val="21"/>
                <w:szCs w:val="21"/>
              </w:rPr>
              <w:t>，执行日期：</w:t>
            </w:r>
            <w:r>
              <w:rPr>
                <w:rFonts w:hint="eastAsia"/>
                <w:b w:val="0"/>
                <w:bCs w:val="0"/>
                <w:sz w:val="21"/>
                <w:szCs w:val="21"/>
                <w:lang w:val="en-US" w:eastAsia="zh-CN"/>
              </w:rPr>
              <w:t>长期</w:t>
            </w:r>
          </w:p>
          <w:p>
            <w:pPr>
              <w:ind w:firstLine="420" w:firstLineChars="200"/>
              <w:rPr>
                <w:rFonts w:hint="eastAsia"/>
                <w:b w:val="0"/>
                <w:bCs w:val="0"/>
                <w:sz w:val="21"/>
                <w:szCs w:val="21"/>
              </w:rPr>
            </w:pPr>
            <w:r>
              <w:rPr>
                <w:rFonts w:hint="eastAsia"/>
                <w:b w:val="0"/>
                <w:bCs w:val="0"/>
                <w:sz w:val="21"/>
                <w:szCs w:val="21"/>
              </w:rPr>
              <w:t>上述目标、指标</w:t>
            </w:r>
            <w:r>
              <w:rPr>
                <w:rFonts w:hint="eastAsia"/>
                <w:b w:val="0"/>
                <w:bCs w:val="0"/>
                <w:sz w:val="21"/>
                <w:szCs w:val="21"/>
                <w:lang w:eastAsia="zh-CN"/>
              </w:rPr>
              <w:t>2020</w:t>
            </w:r>
            <w:r>
              <w:rPr>
                <w:rFonts w:hint="eastAsia"/>
                <w:b w:val="0"/>
                <w:bCs w:val="0"/>
                <w:sz w:val="21"/>
                <w:szCs w:val="21"/>
              </w:rPr>
              <w:t>年</w:t>
            </w:r>
            <w:r>
              <w:rPr>
                <w:rFonts w:hint="eastAsia"/>
                <w:b w:val="0"/>
                <w:bCs w:val="0"/>
                <w:sz w:val="21"/>
                <w:szCs w:val="21"/>
                <w:lang w:val="en-US" w:eastAsia="zh-CN"/>
              </w:rPr>
              <w:t>9月</w:t>
            </w:r>
            <w:r>
              <w:rPr>
                <w:rFonts w:hint="eastAsia"/>
                <w:b w:val="0"/>
                <w:bCs w:val="0"/>
                <w:sz w:val="21"/>
                <w:szCs w:val="21"/>
              </w:rPr>
              <w:t>度进行考核，考核结果：全部达标，考核人：</w:t>
            </w:r>
            <w:r>
              <w:rPr>
                <w:rFonts w:hint="eastAsia" w:ascii="宋体" w:hAnsi="宋体"/>
                <w:szCs w:val="21"/>
                <w:lang w:eastAsia="zh-CN"/>
              </w:rPr>
              <w:t>杨瑞</w:t>
            </w:r>
            <w:r>
              <w:rPr>
                <w:rFonts w:hint="eastAsia"/>
                <w:b w:val="0"/>
                <w:bCs w:val="0"/>
                <w:sz w:val="21"/>
                <w:szCs w:val="21"/>
              </w:rPr>
              <w:t>。</w:t>
            </w:r>
          </w:p>
          <w:p>
            <w:r>
              <w:rPr>
                <w:rFonts w:hint="eastAsia"/>
                <w:b w:val="0"/>
                <w:bCs w:val="0"/>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exact"/>
              <w:rPr>
                <w:rFonts w:ascii="Times New Roman" w:hAnsi="Times New Roman" w:eastAsia="宋体" w:cs="Lucida Sans"/>
                <w:b/>
                <w:szCs w:val="20"/>
              </w:rPr>
            </w:pPr>
            <w:r>
              <w:rPr>
                <w:rFonts w:hint="eastAsia" w:ascii="Times New Roman" w:hAnsi="Times New Roman" w:eastAsia="宋体" w:cs="Lucida Sans"/>
                <w:b/>
                <w:szCs w:val="20"/>
              </w:rPr>
              <w:t>应对风险和机遇的措施</w:t>
            </w:r>
          </w:p>
          <w:p/>
        </w:tc>
        <w:tc>
          <w:tcPr>
            <w:tcW w:w="960" w:type="dxa"/>
            <w:vAlign w:val="center"/>
          </w:tcPr>
          <w:p>
            <w:pPr>
              <w:rPr>
                <w:rFonts w:ascii="Times New Roman" w:hAnsi="Times New Roman" w:eastAsia="宋体" w:cs="Lucida Sans"/>
                <w:b/>
                <w:szCs w:val="20"/>
              </w:rPr>
            </w:pPr>
            <w:r>
              <w:rPr>
                <w:rFonts w:hint="eastAsia" w:ascii="Times New Roman" w:hAnsi="Times New Roman" w:eastAsia="宋体" w:cs="Lucida Sans"/>
                <w:b/>
                <w:szCs w:val="20"/>
              </w:rPr>
              <w:t>E</w:t>
            </w:r>
            <w:r>
              <w:rPr>
                <w:rFonts w:hint="eastAsia" w:cs="Lucida Sans"/>
                <w:b/>
                <w:szCs w:val="20"/>
                <w:lang w:val="en-US" w:eastAsia="zh-CN"/>
              </w:rPr>
              <w:t>S</w:t>
            </w:r>
            <w:r>
              <w:rPr>
                <w:rFonts w:hint="eastAsia" w:ascii="Times New Roman" w:hAnsi="Times New Roman" w:eastAsia="宋体" w:cs="Lucida Sans"/>
                <w:b/>
                <w:szCs w:val="20"/>
              </w:rPr>
              <w:t>6.1</w:t>
            </w:r>
          </w:p>
          <w:p>
            <w:pPr>
              <w:rPr>
                <w:rFonts w:ascii="Times New Roman" w:hAnsi="Times New Roman" w:eastAsia="宋体" w:cs="Lucida Sans"/>
                <w:b/>
                <w:szCs w:val="20"/>
              </w:rPr>
            </w:pPr>
            <w:r>
              <w:rPr>
                <w:rFonts w:hint="eastAsia" w:ascii="Times New Roman" w:hAnsi="Times New Roman" w:eastAsia="宋体" w:cs="Lucida Sans"/>
                <w:b/>
                <w:szCs w:val="20"/>
              </w:rPr>
              <w:t>E</w:t>
            </w:r>
            <w:r>
              <w:rPr>
                <w:rFonts w:hint="eastAsia" w:cs="Lucida Sans"/>
                <w:b/>
                <w:szCs w:val="20"/>
                <w:lang w:val="en-US" w:eastAsia="zh-CN"/>
              </w:rPr>
              <w:t>S</w:t>
            </w:r>
            <w:r>
              <w:rPr>
                <w:rFonts w:hint="eastAsia" w:ascii="Times New Roman" w:hAnsi="Times New Roman" w:eastAsia="宋体" w:cs="Lucida Sans"/>
                <w:b/>
                <w:szCs w:val="20"/>
              </w:rPr>
              <w:t>6.1.1</w:t>
            </w:r>
          </w:p>
          <w:p>
            <w:pPr>
              <w:rPr>
                <w:rFonts w:ascii="Times New Roman" w:hAnsi="Times New Roman" w:eastAsia="宋体" w:cs="Lucida Sans"/>
                <w:b/>
                <w:szCs w:val="20"/>
              </w:rPr>
            </w:pPr>
          </w:p>
          <w:p/>
        </w:tc>
        <w:tc>
          <w:tcPr>
            <w:tcW w:w="10004" w:type="dxa"/>
            <w:vAlign w:val="center"/>
          </w:tcPr>
          <w:p>
            <w:pPr>
              <w:rPr>
                <w:rFonts w:hint="eastAsia"/>
              </w:rPr>
            </w:pPr>
            <w:r>
              <w:rPr>
                <w:rFonts w:hint="eastAsia"/>
                <w:sz w:val="21"/>
                <w:szCs w:val="21"/>
              </w:rPr>
              <w:t>用过程方法及风险评价识别了本部门的环境风险及应对措施的策划，有《风险机遇识别及应对措施评价表》，并于</w:t>
            </w:r>
            <w:r>
              <w:rPr>
                <w:rFonts w:hint="eastAsia"/>
                <w:sz w:val="21"/>
                <w:szCs w:val="21"/>
                <w:lang w:eastAsia="zh-CN"/>
              </w:rPr>
              <w:t>2020</w:t>
            </w:r>
            <w:r>
              <w:rPr>
                <w:rFonts w:hint="eastAsia"/>
                <w:sz w:val="21"/>
                <w:szCs w:val="21"/>
              </w:rPr>
              <w:t>-</w:t>
            </w:r>
            <w:r>
              <w:rPr>
                <w:rFonts w:hint="eastAsia"/>
                <w:sz w:val="21"/>
                <w:szCs w:val="21"/>
                <w:lang w:val="en-US" w:eastAsia="zh-CN"/>
              </w:rPr>
              <w:t>7</w:t>
            </w:r>
            <w:r>
              <w:rPr>
                <w:rFonts w:hint="eastAsia"/>
                <w:sz w:val="21"/>
                <w:szCs w:val="21"/>
              </w:rPr>
              <w:t>-</w:t>
            </w:r>
            <w:r>
              <w:rPr>
                <w:rFonts w:hint="eastAsia"/>
                <w:sz w:val="21"/>
                <w:szCs w:val="21"/>
                <w:lang w:val="en-US" w:eastAsia="zh-CN"/>
              </w:rPr>
              <w:t>3</w:t>
            </w:r>
            <w:r>
              <w:rPr>
                <w:rFonts w:hint="eastAsia"/>
                <w:sz w:val="21"/>
                <w:szCs w:val="21"/>
              </w:rPr>
              <w:t>0进行了措施有效性的评审，结果为有效，评审人员：</w:t>
            </w:r>
            <w:r>
              <w:rPr>
                <w:rFonts w:hint="eastAsia"/>
              </w:rPr>
              <w:t>刘小艳   杨正平  李 涛  汤 文</w:t>
            </w:r>
          </w:p>
          <w:p>
            <w:pPr>
              <w:rPr>
                <w:rFonts w:hint="eastAsia"/>
                <w:sz w:val="21"/>
                <w:szCs w:val="21"/>
              </w:rPr>
            </w:pPr>
            <w:r>
              <w:rPr>
                <w:rFonts w:hint="eastAsia"/>
                <w:sz w:val="21"/>
                <w:szCs w:val="21"/>
              </w:rPr>
              <w:t>询问程生产经理及在现场的生产人员，可以说出本部门环境的风险，知道风险评价方法，并知道对应的应对措施及相关绩效目标，符合标准要求。</w:t>
            </w:r>
          </w:p>
          <w:p>
            <w:pPr>
              <w:rPr>
                <w:rFonts w:hint="eastAsia"/>
                <w:sz w:val="21"/>
                <w:szCs w:val="21"/>
              </w:rPr>
            </w:pPr>
            <w:r>
              <w:rPr>
                <w:rFonts w:hint="eastAsia"/>
                <w:sz w:val="21"/>
                <w:szCs w:val="21"/>
              </w:rPr>
              <w:t>提供了“风险和机遇评估表”，将需要应对的风险和机遇进行风险分析确定风险级别（一般风险、高风险），在</w:t>
            </w:r>
            <w:r>
              <w:rPr>
                <w:rFonts w:hint="eastAsia"/>
                <w:sz w:val="21"/>
                <w:szCs w:val="21"/>
                <w:lang w:eastAsia="zh-CN"/>
              </w:rPr>
              <w:t>环境</w:t>
            </w:r>
            <w:r>
              <w:rPr>
                <w:rFonts w:hint="eastAsia"/>
                <w:sz w:val="21"/>
                <w:szCs w:val="21"/>
              </w:rPr>
              <w:t>管理体系所确定的过程（生产制造、</w:t>
            </w:r>
            <w:r>
              <w:rPr>
                <w:rFonts w:hint="eastAsia"/>
                <w:sz w:val="21"/>
                <w:szCs w:val="21"/>
                <w:lang w:eastAsia="zh-CN"/>
              </w:rPr>
              <w:t>设备维修</w:t>
            </w:r>
            <w:r>
              <w:rPr>
                <w:rFonts w:hint="eastAsia"/>
                <w:sz w:val="21"/>
                <w:szCs w:val="21"/>
              </w:rPr>
              <w:t>；</w:t>
            </w:r>
            <w:r>
              <w:rPr>
                <w:rFonts w:hint="eastAsia"/>
                <w:sz w:val="21"/>
                <w:szCs w:val="21"/>
                <w:lang w:eastAsia="zh-CN"/>
              </w:rPr>
              <w:t>工艺控制、</w:t>
            </w:r>
            <w:r>
              <w:rPr>
                <w:rFonts w:hint="eastAsia"/>
                <w:sz w:val="21"/>
                <w:szCs w:val="21"/>
              </w:rPr>
              <w:t>人力资源控制等）中，整合制定针对性管理措施（如程序控制等）。</w:t>
            </w:r>
          </w:p>
          <w:p>
            <w:pPr>
              <w:rPr>
                <w:rFonts w:hint="eastAsia"/>
              </w:rPr>
            </w:pPr>
            <w:r>
              <w:rPr>
                <w:rFonts w:hint="eastAsia"/>
                <w:sz w:val="21"/>
                <w:szCs w:val="21"/>
              </w:rPr>
              <w:t>评审人员：</w:t>
            </w:r>
            <w:r>
              <w:rPr>
                <w:rFonts w:hint="eastAsia"/>
              </w:rPr>
              <w:t>刘小艳   杨正平  李 涛  汤 文</w:t>
            </w:r>
          </w:p>
          <w:p>
            <w:pPr>
              <w:rPr>
                <w:rFonts w:hint="eastAsia" w:ascii="宋体" w:hAnsi="宋体" w:eastAsiaTheme="minorEastAsia"/>
                <w:szCs w:val="21"/>
                <w:lang w:eastAsia="zh-CN"/>
              </w:rPr>
            </w:pPr>
          </w:p>
          <w:p>
            <w:pPr>
              <w:rPr>
                <w:rFonts w:hint="eastAsia"/>
                <w:sz w:val="21"/>
                <w:szCs w:val="21"/>
              </w:rPr>
            </w:pPr>
            <w:r>
              <w:rPr>
                <w:rFonts w:hint="eastAsia"/>
                <w:sz w:val="21"/>
                <w:szCs w:val="21"/>
              </w:rPr>
              <w:t xml:space="preserve">   日期：</w:t>
            </w:r>
            <w:r>
              <w:rPr>
                <w:rFonts w:hint="eastAsia"/>
                <w:sz w:val="21"/>
                <w:szCs w:val="21"/>
                <w:lang w:eastAsia="zh-CN"/>
              </w:rPr>
              <w:t>2020</w:t>
            </w:r>
            <w:r>
              <w:rPr>
                <w:rFonts w:hint="eastAsia"/>
                <w:sz w:val="21"/>
                <w:szCs w:val="21"/>
              </w:rPr>
              <w:t>-</w:t>
            </w:r>
            <w:r>
              <w:rPr>
                <w:rFonts w:hint="eastAsia"/>
                <w:sz w:val="21"/>
                <w:szCs w:val="21"/>
                <w:lang w:val="en-US" w:eastAsia="zh-CN"/>
              </w:rPr>
              <w:t>7</w:t>
            </w:r>
            <w:r>
              <w:rPr>
                <w:rFonts w:hint="eastAsia"/>
                <w:sz w:val="21"/>
                <w:szCs w:val="21"/>
              </w:rPr>
              <w:t>-</w:t>
            </w:r>
            <w:r>
              <w:rPr>
                <w:rFonts w:hint="eastAsia"/>
                <w:sz w:val="21"/>
                <w:szCs w:val="21"/>
                <w:lang w:val="en-US" w:eastAsia="zh-CN"/>
              </w:rPr>
              <w:t>3</w:t>
            </w:r>
            <w:r>
              <w:rPr>
                <w:rFonts w:hint="eastAsia"/>
                <w:sz w:val="21"/>
                <w:szCs w:val="21"/>
              </w:rPr>
              <w:t>0</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p>
          <w:p>
            <w:pPr>
              <w:rPr>
                <w:rFonts w:hint="eastAsia"/>
                <w:sz w:val="21"/>
                <w:szCs w:val="21"/>
              </w:rPr>
            </w:pPr>
          </w:p>
          <w:p>
            <w:pPr>
              <w:rPr>
                <w:rFonts w:hint="eastAsia" w:eastAsia="宋体"/>
                <w:lang w:eastAsia="zh-CN"/>
              </w:rPr>
            </w:pPr>
            <w:r>
              <w:rPr>
                <w:rFonts w:hint="eastAsia"/>
                <w:sz w:val="21"/>
                <w:szCs w:val="21"/>
              </w:rPr>
              <w:t>环境因素、危险源识别</w:t>
            </w:r>
          </w:p>
        </w:tc>
        <w:tc>
          <w:tcPr>
            <w:tcW w:w="960" w:type="dxa"/>
            <w:vAlign w:val="center"/>
          </w:tcPr>
          <w:p>
            <w:pPr>
              <w:rPr>
                <w:rFonts w:hint="eastAsia"/>
                <w:sz w:val="21"/>
                <w:szCs w:val="21"/>
              </w:rPr>
            </w:pPr>
            <w:r>
              <w:rPr>
                <w:rFonts w:hint="eastAsia"/>
                <w:sz w:val="21"/>
                <w:szCs w:val="21"/>
              </w:rPr>
              <w:t>E</w:t>
            </w:r>
            <w:r>
              <w:rPr>
                <w:rFonts w:hint="eastAsia"/>
                <w:sz w:val="21"/>
                <w:szCs w:val="21"/>
                <w:lang w:val="en-US" w:eastAsia="zh-CN"/>
              </w:rPr>
              <w:t>S</w:t>
            </w:r>
            <w:r>
              <w:rPr>
                <w:rFonts w:hint="eastAsia"/>
                <w:sz w:val="21"/>
                <w:szCs w:val="21"/>
              </w:rPr>
              <w:t>6.1.2</w:t>
            </w:r>
          </w:p>
          <w:p/>
        </w:tc>
        <w:tc>
          <w:tcPr>
            <w:tcW w:w="10004" w:type="dxa"/>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《环境因素的识别与评价控制程序》《危险源辩识、风险评价和风险控制策划程序》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rPr>
              <w:t>车用传感器及车门玻璃升降器的组装加工</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rPr>
              <w:t>服务过程，用打分法考虑了法规符合性、发生频次、影响范围等, 通过定性判断法，共识别出重大环境因素</w:t>
            </w:r>
            <w:r>
              <w:rPr>
                <w:sz w:val="21"/>
                <w:szCs w:val="21"/>
              </w:rPr>
              <w:t>2</w:t>
            </w:r>
            <w:r>
              <w:rPr>
                <w:rFonts w:hint="eastAsia"/>
                <w:sz w:val="21"/>
                <w:szCs w:val="21"/>
              </w:rPr>
              <w:t>项：固废排放、火灾，评价符合程序要求及公司的实际情况。</w:t>
            </w:r>
          </w:p>
          <w:p>
            <w:pPr>
              <w:ind w:firstLine="420" w:firstLineChars="200"/>
              <w:rPr>
                <w:rFonts w:hint="eastAsia"/>
                <w:sz w:val="21"/>
                <w:szCs w:val="21"/>
              </w:rPr>
            </w:pPr>
            <w:r>
              <w:rPr>
                <w:rFonts w:hint="eastAsia"/>
                <w:sz w:val="21"/>
                <w:szCs w:val="21"/>
              </w:rPr>
              <w:t>对重要环境因素的控制措施包括制定管理制度、监督检查、应急预案、培训等。提供《重要环境因素识别清单》，其中综合办涉及的重要环境因素：固废排放、</w:t>
            </w:r>
            <w:r>
              <w:rPr>
                <w:rFonts w:hint="eastAsia"/>
                <w:sz w:val="21"/>
                <w:szCs w:val="21"/>
                <w:lang w:eastAsia="zh-CN"/>
              </w:rPr>
              <w:t>粉尘、</w:t>
            </w:r>
            <w:r>
              <w:rPr>
                <w:rFonts w:hint="eastAsia"/>
                <w:sz w:val="21"/>
                <w:szCs w:val="21"/>
              </w:rPr>
              <w:t>意外火灾的发生，评价基本合理。</w:t>
            </w:r>
          </w:p>
          <w:p>
            <w:pPr>
              <w:ind w:firstLine="420" w:firstLineChars="200"/>
              <w:rPr>
                <w:rFonts w:hint="eastAsia"/>
                <w:sz w:val="21"/>
                <w:szCs w:val="21"/>
              </w:rPr>
            </w:pPr>
            <w:r>
              <w:rPr>
                <w:rFonts w:hint="eastAsia"/>
                <w:sz w:val="2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w:t>
            </w:r>
            <w:r>
              <w:rPr>
                <w:rFonts w:hint="eastAsia"/>
                <w:sz w:val="21"/>
                <w:szCs w:val="21"/>
                <w:lang w:val="en-US" w:eastAsia="zh-CN"/>
              </w:rPr>
              <w:t>意外</w:t>
            </w:r>
            <w:r>
              <w:rPr>
                <w:rFonts w:hint="eastAsia"/>
                <w:sz w:val="21"/>
                <w:szCs w:val="21"/>
                <w:lang w:eastAsia="zh-CN"/>
              </w:rPr>
              <w:t>伤害。</w:t>
            </w:r>
            <w:r>
              <w:rPr>
                <w:rFonts w:hint="eastAsia"/>
                <w:sz w:val="21"/>
                <w:szCs w:val="21"/>
              </w:rPr>
              <w:t>评价符合程序要求及公司的实际情况。对危险源的控制措施包括制定管理制度、监督检查、应急预案、培训等。</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ascii="Times New Roman" w:hAnsi="Times New Roman" w:eastAsia="宋体" w:cs="Lucida Sans"/>
                <w:b/>
                <w:szCs w:val="20"/>
              </w:rPr>
              <w:t>环境和职业健康安全运行控制</w:t>
            </w:r>
          </w:p>
        </w:tc>
        <w:tc>
          <w:tcPr>
            <w:tcW w:w="960" w:type="dxa"/>
            <w:vAlign w:val="center"/>
          </w:tcPr>
          <w:p>
            <w:pPr>
              <w:rPr>
                <w:rFonts w:ascii="Times New Roman" w:hAnsi="Times New Roman" w:eastAsia="宋体" w:cs="Lucida Sans"/>
                <w:b/>
                <w:color w:val="auto"/>
                <w:szCs w:val="20"/>
              </w:rPr>
            </w:pPr>
            <w:r>
              <w:rPr>
                <w:rFonts w:hint="eastAsia" w:ascii="Times New Roman" w:hAnsi="Times New Roman" w:eastAsia="宋体" w:cs="Lucida Sans"/>
                <w:b/>
                <w:color w:val="auto"/>
                <w:szCs w:val="20"/>
              </w:rPr>
              <w:t>E</w:t>
            </w:r>
            <w:r>
              <w:rPr>
                <w:rFonts w:hint="eastAsia" w:cs="Lucida Sans"/>
                <w:b/>
                <w:color w:val="auto"/>
                <w:szCs w:val="20"/>
                <w:lang w:val="en-US" w:eastAsia="zh-CN"/>
              </w:rPr>
              <w:t>S</w:t>
            </w:r>
            <w:r>
              <w:rPr>
                <w:rFonts w:ascii="Times New Roman" w:hAnsi="Times New Roman" w:eastAsia="宋体" w:cs="Lucida Sans"/>
                <w:b/>
                <w:color w:val="auto"/>
                <w:szCs w:val="20"/>
              </w:rPr>
              <w:t>8.1</w:t>
            </w:r>
          </w:p>
          <w:p/>
        </w:tc>
        <w:tc>
          <w:tcPr>
            <w:tcW w:w="10004" w:type="dxa"/>
            <w:vAlign w:val="center"/>
          </w:tcPr>
          <w:p>
            <w:pPr>
              <w:ind w:firstLine="420" w:firstLineChars="200"/>
              <w:rPr>
                <w:rFonts w:hint="eastAsia"/>
                <w:b w:val="0"/>
                <w:bCs w:val="0"/>
                <w:sz w:val="21"/>
                <w:szCs w:val="21"/>
              </w:rPr>
            </w:pPr>
            <w:r>
              <w:rPr>
                <w:rFonts w:hint="eastAsia"/>
                <w:b w:val="0"/>
                <w:bCs w:val="0"/>
                <w:sz w:val="21"/>
                <w:szCs w:val="21"/>
              </w:rPr>
              <w:t>本部门执行节能降耗控制程序、固体废弃物控制程序、环境管理控制程序、档案管理制定合同管理制定、印章管理制度、代理工作办法项目管理手册</w:t>
            </w:r>
            <w:r>
              <w:rPr>
                <w:rFonts w:hint="eastAsia"/>
                <w:b w:val="0"/>
                <w:bCs w:val="0"/>
                <w:sz w:val="21"/>
                <w:szCs w:val="21"/>
                <w:lang w:val="en-GB"/>
              </w:rPr>
              <w:t>、车辆管理规定</w:t>
            </w:r>
            <w:r>
              <w:rPr>
                <w:rFonts w:hint="eastAsia"/>
                <w:b w:val="0"/>
                <w:bCs w:val="0"/>
                <w:sz w:val="21"/>
                <w:szCs w:val="21"/>
              </w:rPr>
              <w:t>等。</w:t>
            </w:r>
          </w:p>
          <w:p>
            <w:pPr>
              <w:ind w:firstLine="420" w:firstLineChars="200"/>
              <w:rPr>
                <w:rFonts w:ascii="宋体" w:hAnsi="宋体" w:cs="宋体"/>
                <w:b w:val="0"/>
                <w:bCs w:val="0"/>
                <w:sz w:val="21"/>
                <w:szCs w:val="21"/>
                <w:lang w:val="en-GB"/>
              </w:rPr>
            </w:pPr>
            <w:r>
              <w:rPr>
                <w:rFonts w:hint="eastAsia" w:ascii="宋体" w:hAnsi="宋体" w:cs="宋体"/>
                <w:b w:val="0"/>
                <w:bCs w:val="0"/>
                <w:sz w:val="21"/>
                <w:szCs w:val="21"/>
                <w:lang w:val="en-GB"/>
              </w:rPr>
              <w:t>运行控制情况：办公过程注意节约用电，做到人走灯灭，电脑长时间不用时关机，下班前要关闭电源；办公区域内配置的灭火器,在有效期内。</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办公用品按要求由</w:t>
            </w:r>
            <w:r>
              <w:rPr>
                <w:rFonts w:hint="eastAsia" w:ascii="宋体" w:hAnsi="宋体" w:cs="宋体"/>
                <w:b w:val="0"/>
                <w:bCs w:val="0"/>
                <w:sz w:val="21"/>
                <w:szCs w:val="21"/>
                <w:lang w:eastAsia="zh-CN"/>
              </w:rPr>
              <w:t>厂办</w:t>
            </w:r>
            <w:r>
              <w:rPr>
                <w:rFonts w:hint="eastAsia" w:ascii="宋体" w:hAnsi="宋体" w:cs="宋体"/>
                <w:b w:val="0"/>
                <w:bCs w:val="0"/>
                <w:sz w:val="21"/>
                <w:szCs w:val="21"/>
                <w:lang w:val="en-GB"/>
              </w:rPr>
              <w:t>负责发放，作好记录；</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公司办公产生的废硒鼓、废墨盒、色带由供应方公司回收；</w:t>
            </w:r>
          </w:p>
          <w:p>
            <w:pPr>
              <w:rPr>
                <w:rFonts w:hint="eastAsia" w:ascii="宋体" w:hAnsi="宋体" w:cs="宋体"/>
                <w:b w:val="0"/>
                <w:bCs w:val="0"/>
                <w:sz w:val="21"/>
                <w:szCs w:val="21"/>
              </w:rPr>
            </w:pPr>
            <w:r>
              <w:rPr>
                <w:rFonts w:hint="eastAsia" w:ascii="宋体" w:hAnsi="宋体" w:cs="宋体"/>
                <w:b w:val="0"/>
                <w:bCs w:val="0"/>
                <w:sz w:val="21"/>
                <w:szCs w:val="21"/>
              </w:rPr>
              <w:t>查：废弃物回收处理登记表</w:t>
            </w:r>
          </w:p>
          <w:p>
            <w:pPr>
              <w:rPr>
                <w:rFonts w:hint="eastAsia" w:ascii="宋体" w:hAnsi="宋体" w:cs="宋体"/>
                <w:b w:val="0"/>
                <w:bCs w:val="0"/>
                <w:sz w:val="21"/>
                <w:szCs w:val="21"/>
                <w:lang w:val="en-GB"/>
              </w:rPr>
            </w:pPr>
            <w:r>
              <w:rPr>
                <w:rFonts w:hint="eastAsia" w:ascii="宋体" w:hAnsi="宋体" w:cs="宋体"/>
                <w:b w:val="0"/>
                <w:bCs w:val="0"/>
                <w:sz w:val="21"/>
                <w:szCs w:val="21"/>
                <w:lang w:val="en-GB"/>
              </w:rPr>
              <w:t>废弃物种类</w:t>
            </w:r>
            <w:r>
              <w:rPr>
                <w:rFonts w:hint="eastAsia" w:ascii="宋体" w:hAnsi="宋体" w:cs="宋体"/>
                <w:b w:val="0"/>
                <w:bCs w:val="0"/>
                <w:sz w:val="21"/>
                <w:szCs w:val="21"/>
                <w:lang w:val="en-GB"/>
              </w:rPr>
              <w:tab/>
            </w:r>
            <w:r>
              <w:rPr>
                <w:rFonts w:hint="eastAsia" w:ascii="宋体" w:hAnsi="宋体" w:cs="宋体"/>
                <w:b w:val="0"/>
                <w:bCs w:val="0"/>
                <w:sz w:val="21"/>
                <w:szCs w:val="21"/>
                <w:lang w:val="en-GB"/>
              </w:rPr>
              <w:t xml:space="preserve">排放量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日期</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统计人</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处置办法</w:t>
            </w:r>
            <w:r>
              <w:rPr>
                <w:rFonts w:hint="eastAsia" w:ascii="宋体" w:hAnsi="宋体" w:cs="宋体"/>
                <w:b w:val="0"/>
                <w:bCs w:val="0"/>
                <w:sz w:val="21"/>
                <w:szCs w:val="21"/>
                <w:lang w:val="en-GB"/>
              </w:rPr>
              <w:tab/>
            </w:r>
          </w:p>
          <w:p>
            <w:pPr>
              <w:rPr>
                <w:rFonts w:hint="eastAsia" w:ascii="宋体" w:hAnsi="宋体" w:cs="宋体"/>
                <w:b w:val="0"/>
                <w:bCs w:val="0"/>
                <w:sz w:val="21"/>
                <w:szCs w:val="21"/>
                <w:lang w:val="en-GB"/>
              </w:rPr>
            </w:pPr>
            <w:r>
              <w:rPr>
                <w:rFonts w:hint="eastAsia" w:ascii="宋体" w:hAnsi="宋体" w:cs="宋体"/>
                <w:b w:val="0"/>
                <w:bCs w:val="0"/>
                <w:sz w:val="21"/>
                <w:szCs w:val="21"/>
                <w:lang w:val="en-GB"/>
              </w:rPr>
              <w:t xml:space="preserve">废硒鼓墨盒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 xml:space="preserve">2个 </w:t>
            </w:r>
            <w:r>
              <w:rPr>
                <w:rFonts w:ascii="宋体" w:hAnsi="宋体" w:cs="宋体"/>
                <w:b w:val="0"/>
                <w:bCs w:val="0"/>
                <w:sz w:val="21"/>
                <w:szCs w:val="21"/>
                <w:lang w:val="en-GB"/>
              </w:rPr>
              <w:t xml:space="preserve"> </w:t>
            </w:r>
            <w:r>
              <w:rPr>
                <w:rFonts w:hint="eastAsia" w:ascii="宋体" w:hAnsi="宋体" w:cs="宋体"/>
                <w:b w:val="0"/>
                <w:bCs w:val="0"/>
                <w:sz w:val="21"/>
                <w:szCs w:val="21"/>
                <w:lang w:val="en-GB" w:eastAsia="zh-CN"/>
              </w:rPr>
              <w:t>2020</w:t>
            </w:r>
            <w:r>
              <w:rPr>
                <w:rFonts w:hint="eastAsia" w:ascii="宋体" w:hAnsi="宋体" w:cs="宋体"/>
                <w:b w:val="0"/>
                <w:bCs w:val="0"/>
                <w:sz w:val="21"/>
                <w:szCs w:val="21"/>
                <w:lang w:val="en-GB"/>
              </w:rPr>
              <w:t>.</w:t>
            </w:r>
            <w:r>
              <w:rPr>
                <w:rFonts w:hint="eastAsia" w:ascii="宋体" w:hAnsi="宋体" w:cs="宋体"/>
                <w:b w:val="0"/>
                <w:bCs w:val="0"/>
                <w:sz w:val="21"/>
                <w:szCs w:val="21"/>
                <w:lang w:val="en-US" w:eastAsia="zh-CN"/>
              </w:rPr>
              <w:t>8</w:t>
            </w:r>
            <w:r>
              <w:rPr>
                <w:rFonts w:hint="eastAsia" w:ascii="宋体" w:hAnsi="宋体" w:cs="宋体"/>
                <w:b w:val="0"/>
                <w:bCs w:val="0"/>
                <w:sz w:val="21"/>
                <w:szCs w:val="21"/>
                <w:lang w:val="en-GB"/>
              </w:rPr>
              <w:t>.16</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szCs w:val="21"/>
                <w:lang w:eastAsia="zh-CN"/>
              </w:rPr>
              <w:t>杨瑞</w:t>
            </w:r>
            <w:r>
              <w:rPr>
                <w:rFonts w:hint="eastAsia" w:ascii="宋体" w:hAnsi="宋体" w:cs="宋体"/>
                <w:b w:val="0"/>
                <w:bCs w:val="0"/>
                <w:sz w:val="21"/>
                <w:szCs w:val="21"/>
                <w:lang w:val="en-GB"/>
              </w:rPr>
              <w:tab/>
            </w:r>
            <w:r>
              <w:rPr>
                <w:rFonts w:ascii="宋体" w:hAnsi="宋体" w:cs="宋体"/>
                <w:b w:val="0"/>
                <w:bCs w:val="0"/>
                <w:sz w:val="21"/>
                <w:szCs w:val="21"/>
                <w:lang w:val="en-GB"/>
              </w:rPr>
              <w:t xml:space="preserve">  </w:t>
            </w:r>
            <w:r>
              <w:rPr>
                <w:rFonts w:hint="eastAsia" w:ascii="宋体" w:hAnsi="宋体" w:cs="宋体"/>
                <w:b w:val="0"/>
                <w:bCs w:val="0"/>
                <w:sz w:val="21"/>
                <w:szCs w:val="21"/>
                <w:lang w:val="en-GB"/>
              </w:rPr>
              <w:t>集中存放交供应商</w:t>
            </w:r>
          </w:p>
          <w:p>
            <w:pPr>
              <w:rPr>
                <w:rFonts w:ascii="宋体" w:hAnsi="宋体" w:cs="宋体"/>
                <w:b w:val="0"/>
                <w:bCs w:val="0"/>
                <w:sz w:val="21"/>
                <w:szCs w:val="21"/>
                <w:lang w:val="en-GB"/>
              </w:rPr>
            </w:pPr>
            <w:r>
              <w:rPr>
                <w:rFonts w:hint="eastAsia" w:ascii="宋体" w:hAnsi="宋体" w:cs="宋体"/>
                <w:b w:val="0"/>
                <w:bCs w:val="0"/>
                <w:sz w:val="21"/>
                <w:szCs w:val="21"/>
                <w:lang w:val="en-GB"/>
              </w:rPr>
              <w:t xml:space="preserve">生活垃圾 </w:t>
            </w:r>
            <w:r>
              <w:rPr>
                <w:rFonts w:ascii="宋体" w:hAnsi="宋体" w:cs="宋体"/>
                <w:b w:val="0"/>
                <w:bCs w:val="0"/>
                <w:sz w:val="21"/>
                <w:szCs w:val="21"/>
                <w:lang w:val="en-GB"/>
              </w:rPr>
              <w:t xml:space="preserve"> </w:t>
            </w:r>
            <w:r>
              <w:rPr>
                <w:rFonts w:hint="eastAsia" w:ascii="宋体" w:hAnsi="宋体" w:cs="宋体"/>
                <w:b w:val="0"/>
                <w:bCs w:val="0"/>
                <w:sz w:val="21"/>
                <w:szCs w:val="21"/>
                <w:lang w:val="en-GB"/>
              </w:rPr>
              <w:t>随时</w:t>
            </w:r>
            <w:r>
              <w:rPr>
                <w:rFonts w:hint="eastAsia" w:ascii="宋体" w:hAnsi="宋体" w:cs="宋体"/>
                <w:b w:val="0"/>
                <w:bCs w:val="0"/>
                <w:sz w:val="21"/>
                <w:szCs w:val="21"/>
                <w:lang w:val="en-GB"/>
              </w:rPr>
              <w:tab/>
            </w:r>
            <w:r>
              <w:rPr>
                <w:rFonts w:hint="eastAsia" w:ascii="宋体" w:hAnsi="宋体" w:cs="宋体"/>
                <w:b w:val="0"/>
                <w:bCs w:val="0"/>
                <w:sz w:val="21"/>
                <w:szCs w:val="21"/>
                <w:lang w:val="en-GB"/>
              </w:rPr>
              <w:t>环卫所</w:t>
            </w:r>
          </w:p>
          <w:p>
            <w:pPr>
              <w:ind w:firstLine="420" w:firstLineChars="200"/>
              <w:rPr>
                <w:rFonts w:hint="eastAsia" w:ascii="宋体" w:hAnsi="宋体" w:cs="宋体"/>
                <w:b w:val="0"/>
                <w:bCs w:val="0"/>
                <w:sz w:val="21"/>
                <w:szCs w:val="21"/>
                <w:lang w:val="en-GB"/>
              </w:rPr>
            </w:pPr>
            <w:r>
              <w:rPr>
                <w:rFonts w:hint="eastAsia" w:ascii="宋体" w:hAnsi="宋体" w:cs="宋体"/>
                <w:b w:val="0"/>
                <w:bCs w:val="0"/>
                <w:sz w:val="21"/>
                <w:szCs w:val="21"/>
                <w:lang w:val="en-GB"/>
              </w:rPr>
              <w:t>公司为员工缴纳了养老、工伤、医疗等保险。</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lang w:val="en-GB"/>
              </w:rPr>
              <w:t>提供了缴纳保险的</w:t>
            </w:r>
            <w:r>
              <w:rPr>
                <w:rFonts w:hint="eastAsia" w:ascii="宋体" w:hAnsi="宋体" w:cs="宋体"/>
                <w:b w:val="0"/>
                <w:bCs w:val="0"/>
                <w:sz w:val="21"/>
                <w:szCs w:val="21"/>
              </w:rPr>
              <w:t>票据及社会保险在职人员信息统计表。</w:t>
            </w:r>
          </w:p>
          <w:p>
            <w:pPr>
              <w:ind w:firstLine="420" w:firstLineChars="200"/>
              <w:rPr>
                <w:rFonts w:hint="eastAsia" w:ascii="宋体" w:hAnsi="宋体" w:cs="宋体"/>
                <w:b w:val="0"/>
                <w:bCs w:val="0"/>
                <w:sz w:val="21"/>
                <w:szCs w:val="21"/>
              </w:rPr>
            </w:pPr>
            <w:r>
              <w:rPr>
                <w:rFonts w:hint="eastAsia" w:ascii="宋体" w:hAnsi="宋体" w:cs="宋体"/>
                <w:b w:val="0"/>
                <w:bCs w:val="0"/>
                <w:sz w:val="21"/>
                <w:szCs w:val="21"/>
              </w:rPr>
              <w:t>驾驶员要求遵守道路交通安全法，不违章驾车，驾驶证和车辆定期年审，确保行车安全。</w:t>
            </w:r>
          </w:p>
          <w:p>
            <w:pPr>
              <w:ind w:firstLine="420" w:firstLineChars="200"/>
              <w:rPr>
                <w:rFonts w:ascii="宋体" w:hAnsi="宋体" w:cs="宋体"/>
                <w:b w:val="0"/>
                <w:bCs w:val="0"/>
                <w:sz w:val="21"/>
                <w:szCs w:val="21"/>
              </w:rPr>
            </w:pPr>
            <w:r>
              <w:rPr>
                <w:rFonts w:hint="eastAsia" w:ascii="宋体" w:hAnsi="宋体" w:cs="宋体"/>
                <w:b w:val="0"/>
                <w:bCs w:val="0"/>
                <w:sz w:val="21"/>
                <w:szCs w:val="21"/>
              </w:rPr>
              <w:t>现场查看办公区域配备有符合要求的灭火器，综合办设备、电器状态良好，无安全隐患。</w:t>
            </w:r>
          </w:p>
          <w:p>
            <w:pPr>
              <w:pStyle w:val="2"/>
              <w:ind w:firstLine="420" w:firstLineChars="200"/>
              <w:rPr>
                <w:rFonts w:hint="eastAsia" w:ascii="宋体" w:hAnsi="宋体" w:cs="宋体"/>
                <w:b w:val="0"/>
                <w:bCs w:val="0"/>
                <w:spacing w:val="0"/>
                <w:sz w:val="21"/>
                <w:szCs w:val="21"/>
              </w:rPr>
            </w:pPr>
            <w:r>
              <w:rPr>
                <w:rFonts w:hint="eastAsia" w:ascii="宋体" w:hAnsi="宋体" w:cs="宋体"/>
                <w:b w:val="0"/>
                <w:bCs w:val="0"/>
                <w:spacing w:val="0"/>
                <w:sz w:val="21"/>
                <w:szCs w:val="21"/>
              </w:rPr>
              <w:t>提供了每季度工作环境检查表，抽查：</w:t>
            </w:r>
            <w:r>
              <w:rPr>
                <w:rFonts w:hint="eastAsia" w:ascii="宋体" w:hAnsi="宋体" w:cs="宋体"/>
                <w:b w:val="0"/>
                <w:bCs w:val="0"/>
                <w:spacing w:val="0"/>
                <w:sz w:val="21"/>
                <w:szCs w:val="21"/>
                <w:lang w:val="en-US" w:eastAsia="zh-CN"/>
              </w:rPr>
              <w:t>2020.8.15</w:t>
            </w:r>
            <w:r>
              <w:rPr>
                <w:rFonts w:hint="eastAsia" w:ascii="宋体" w:hAnsi="宋体" w:cs="宋体"/>
                <w:b w:val="0"/>
                <w:bCs w:val="0"/>
                <w:spacing w:val="0"/>
                <w:sz w:val="21"/>
                <w:szCs w:val="21"/>
              </w:rPr>
              <w:t>的检查表，对办公环境、卫生等情况进行了检查，检查人：</w:t>
            </w:r>
            <w:r>
              <w:rPr>
                <w:rFonts w:hint="eastAsia" w:ascii="宋体" w:hAnsi="宋体"/>
                <w:szCs w:val="21"/>
                <w:lang w:eastAsia="zh-CN"/>
              </w:rPr>
              <w:t>杨瑞</w:t>
            </w:r>
            <w:r>
              <w:rPr>
                <w:rFonts w:hint="eastAsia" w:ascii="宋体" w:hAnsi="宋体" w:cs="宋体"/>
                <w:b w:val="0"/>
                <w:bCs w:val="0"/>
                <w:spacing w:val="0"/>
                <w:sz w:val="21"/>
                <w:szCs w:val="21"/>
              </w:rPr>
              <w:t>，无问题。</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Times New Roman" w:hAnsi="Times New Roman" w:eastAsia="宋体" w:cs="Lucida Sans"/>
                <w:b/>
                <w:szCs w:val="20"/>
              </w:rPr>
              <w:t>应急准备和响应</w:t>
            </w:r>
          </w:p>
        </w:tc>
        <w:tc>
          <w:tcPr>
            <w:tcW w:w="960" w:type="dxa"/>
            <w:vAlign w:val="center"/>
          </w:tcPr>
          <w:p>
            <w:pPr>
              <w:rPr>
                <w:rFonts w:ascii="Times New Roman" w:hAnsi="Times New Roman" w:eastAsia="宋体" w:cs="Lucida Sans"/>
                <w:b/>
                <w:szCs w:val="20"/>
              </w:rPr>
            </w:pPr>
            <w:r>
              <w:rPr>
                <w:rFonts w:ascii="Times New Roman" w:hAnsi="Times New Roman" w:eastAsia="宋体" w:cs="Lucida Sans"/>
                <w:b/>
                <w:szCs w:val="20"/>
              </w:rPr>
              <w:t>E</w:t>
            </w:r>
            <w:r>
              <w:rPr>
                <w:rFonts w:hint="eastAsia" w:cs="Lucida Sans"/>
                <w:b/>
                <w:szCs w:val="20"/>
                <w:lang w:val="en-US" w:eastAsia="zh-CN"/>
              </w:rPr>
              <w:t>S</w:t>
            </w:r>
            <w:r>
              <w:rPr>
                <w:rFonts w:ascii="Times New Roman" w:hAnsi="Times New Roman" w:eastAsia="宋体" w:cs="Lucida Sans"/>
                <w:b/>
                <w:szCs w:val="20"/>
              </w:rPr>
              <w:t>8.2</w:t>
            </w:r>
          </w:p>
          <w:p/>
        </w:tc>
        <w:tc>
          <w:tcPr>
            <w:tcW w:w="10004" w:type="dxa"/>
            <w:vAlign w:val="center"/>
          </w:tcPr>
          <w:p>
            <w:pPr>
              <w:ind w:firstLine="420" w:firstLineChars="200"/>
              <w:rPr>
                <w:rFonts w:hint="default" w:ascii="Times New Roman" w:hAnsi="Times New Roman" w:eastAsia="宋体" w:cs="Lucida Sans"/>
                <w:b w:val="0"/>
                <w:bCs w:val="0"/>
                <w:szCs w:val="20"/>
                <w:lang w:val="en-US" w:eastAsia="zh-CN"/>
              </w:rPr>
            </w:pPr>
            <w:r>
              <w:rPr>
                <w:rFonts w:hint="eastAsia" w:cs="Lucida Sans"/>
                <w:b w:val="0"/>
                <w:bCs w:val="0"/>
                <w:szCs w:val="20"/>
                <w:lang w:val="en-US" w:eastAsia="zh-CN"/>
              </w:rPr>
              <w:t>参加公司统一组织的应急演练活动，具体详见</w:t>
            </w:r>
            <w:r>
              <w:rPr>
                <w:rFonts w:hint="eastAsia"/>
              </w:rPr>
              <w:t>综合管理部</w:t>
            </w:r>
            <w:bookmarkStart w:id="0" w:name="_GoBack"/>
            <w:bookmarkEnd w:id="0"/>
            <w:r>
              <w:rPr>
                <w:rFonts w:hint="eastAsia" w:cs="Lucida Sans"/>
                <w:b w:val="0"/>
                <w:bCs w:val="0"/>
                <w:szCs w:val="20"/>
                <w:lang w:val="en-US" w:eastAsia="zh-CN"/>
              </w:rPr>
              <w:t>ES8.2审核记录</w:t>
            </w:r>
          </w:p>
          <w:p>
            <w:pPr>
              <w:rPr>
                <w:rFonts w:hint="default" w:eastAsia="宋体"/>
                <w:lang w:val="en-US" w:eastAsia="zh-CN"/>
              </w:rPr>
            </w:pPr>
          </w:p>
        </w:tc>
        <w:tc>
          <w:tcPr>
            <w:tcW w:w="158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18E0F8A"/>
    <w:rsid w:val="04F81358"/>
    <w:rsid w:val="05BD448F"/>
    <w:rsid w:val="07AF003B"/>
    <w:rsid w:val="108219C2"/>
    <w:rsid w:val="27C60360"/>
    <w:rsid w:val="2E891938"/>
    <w:rsid w:val="319B2667"/>
    <w:rsid w:val="335278DA"/>
    <w:rsid w:val="39ED423F"/>
    <w:rsid w:val="4A8A36BE"/>
    <w:rsid w:val="4E255F1B"/>
    <w:rsid w:val="50F27AD5"/>
    <w:rsid w:val="553C5482"/>
    <w:rsid w:val="55D0011B"/>
    <w:rsid w:val="56171F8A"/>
    <w:rsid w:val="5EA12B9A"/>
    <w:rsid w:val="77143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2020-12-02T13:17:39Z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