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20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39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重庆嘉竞电子设备有限公司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吴家亮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17738053714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电控柜生产、销售（资质许可范围内除外）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19.09.02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2020年10月24日 上午至2020年10月24日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73" w:type="dxa"/>
            <w:gridSpan w:val="4"/>
            <w:vAlign w:val="center"/>
          </w:tcPr>
          <w:p/>
        </w:tc>
        <w:tc>
          <w:tcPr>
            <w:tcW w:w="13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6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69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2020年10月2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2020年10月2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264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" w:hRule="atLeast"/>
          <w:jc w:val="center"/>
        </w:trPr>
        <w:tc>
          <w:tcPr>
            <w:tcW w:w="23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8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（A\B）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8:00- 8:30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8" w:hRule="atLeast"/>
          <w:jc w:val="center"/>
        </w:trPr>
        <w:tc>
          <w:tcPr>
            <w:tcW w:w="11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8:30-1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中午休息一小时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 xml:space="preserve">⑴ 通过对受审核方的管理、生产现场巡视和观察，从总体上初步判断受审 </w:t>
            </w:r>
          </w:p>
          <w:p>
            <w:r>
              <w:rPr>
                <w:rFonts w:hint="eastAsia"/>
              </w:rPr>
              <w:t xml:space="preserve">核方的实际情况（包括实际的产品类别、部门设置、资源状况等）与成文信息的一致性，为第二阶段审核的准备情况。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  <w:bookmarkStart w:id="14" w:name="_GoBack"/>
            <w:bookmarkEnd w:id="14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1" w:hRule="atLeast"/>
          <w:jc w:val="center"/>
        </w:trPr>
        <w:tc>
          <w:tcPr>
            <w:tcW w:w="111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审核组与企业沟通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13494"/>
    <w:rsid w:val="7B551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2020-10-24T08:18:19Z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