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宝鸡市中元机械制造有限公司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宝鸡市中元机械制造有限公司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陕西省宝鸡市眉县首善镇陈家庄(原第五村乡政府院内)</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721300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陕西省宝鸡市眉县首善镇陈家庄(原第五村乡政府院内)</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721300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张科</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18992777302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张凌恺</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张凌恺</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张科</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工矿机械设备及配件制造、销售（需资质许可要求的产品除外）</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18.05.02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2020-04-01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eastAsia="宋体" w:cs="Times New Roman"/>
                <w:b/>
                <w:color w:val="000000" w:themeColor="text1"/>
                <w:kern w:val="2"/>
                <w:sz w:val="20"/>
                <w:szCs w:val="20"/>
                <w:lang w:val="en-US" w:eastAsia="zh-CN" w:bidi="ar-SA"/>
              </w:rPr>
              <w:t>综合部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方针、目标管理；文件、记录控制程；内审管理；人员、部门职能职责和权限；风险识别评价管理；合同管理；采购管理；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生产部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策划管理；过程监控管理；服务过程管理；设备设施管理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监视和测量设备管理；不合格品控制；纠正和预防措施控制</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both"/>
              <w:rPr>
                <w:rFonts w:ascii="宋体" w:hAnsi="宋体" w:eastAsia="宋体" w:cs="Times New Roman"/>
                <w:b/>
                <w:color w:val="000000" w:themeColor="text1"/>
                <w:kern w:val="2"/>
                <w:sz w:val="20"/>
                <w:szCs w:val="20"/>
                <w:lang w:val="en-US" w:eastAsia="zh-CN" w:bidi="ar-SA"/>
              </w:rPr>
            </w:pP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工矿机械设备及配件制造、销售（需资质许可要求的产品除外）</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cs="宋体"/>
                <w:sz w:val="21"/>
                <w:szCs w:val="21"/>
              </w:rPr>
              <w:t>未注尺寸公差GB/T 1804-2000</w:t>
            </w:r>
            <w:r>
              <w:rPr>
                <w:rFonts w:hint="eastAsia" w:ascii="宋体" w:hAnsi="宋体" w:cs="宋体"/>
                <w:sz w:val="21"/>
                <w:szCs w:val="21"/>
                <w:lang w:eastAsia="zh-CN"/>
              </w:rPr>
              <w:t>、</w:t>
            </w:r>
            <w:r>
              <w:rPr>
                <w:rFonts w:hint="eastAsia" w:ascii="宋体" w:hAnsi="宋体" w:cs="宋体"/>
                <w:sz w:val="21"/>
                <w:szCs w:val="21"/>
              </w:rPr>
              <w:t>气焊设备 焊接、切割及相关工艺用炬JB/T 7947-2017</w:t>
            </w:r>
            <w:r>
              <w:rPr>
                <w:rFonts w:hint="eastAsia" w:ascii="宋体" w:hAnsi="Calibri" w:cs="宋体"/>
                <w:color w:val="000000"/>
                <w:kern w:val="0"/>
                <w:sz w:val="20"/>
                <w:szCs w:val="20"/>
              </w:rPr>
              <w:t>机械加工工艺装备基本术语GB</w:t>
            </w:r>
            <w:r>
              <w:rPr>
                <w:rFonts w:hint="eastAsia" w:ascii="宋体" w:hAnsi="Calibri" w:cs="宋体"/>
                <w:color w:val="000000"/>
                <w:kern w:val="0"/>
                <w:sz w:val="20"/>
                <w:szCs w:val="20"/>
                <w:lang w:val="en-US" w:eastAsia="zh-CN"/>
              </w:rPr>
              <w:t>/</w:t>
            </w:r>
            <w:r>
              <w:rPr>
                <w:rFonts w:hint="eastAsia" w:ascii="宋体" w:hAnsi="Calibri" w:cs="宋体"/>
                <w:color w:val="000000"/>
                <w:kern w:val="0"/>
                <w:sz w:val="20"/>
                <w:szCs w:val="20"/>
              </w:rPr>
              <w:t>T</w:t>
            </w:r>
            <w:r>
              <w:rPr>
                <w:rFonts w:hint="eastAsia" w:ascii="宋体" w:hAnsi="Calibri" w:cs="宋体"/>
                <w:color w:val="000000"/>
                <w:kern w:val="0"/>
                <w:sz w:val="20"/>
                <w:szCs w:val="20"/>
                <w:lang w:val="en-US" w:eastAsia="zh-CN"/>
              </w:rPr>
              <w:t xml:space="preserve"> </w:t>
            </w:r>
            <w:r>
              <w:rPr>
                <w:rFonts w:hint="eastAsia" w:ascii="宋体" w:hAnsi="Calibri" w:cs="宋体"/>
                <w:color w:val="000000"/>
                <w:kern w:val="0"/>
                <w:sz w:val="20"/>
                <w:szCs w:val="20"/>
              </w:rPr>
              <w:t>1008</w:t>
            </w:r>
            <w:r>
              <w:rPr>
                <w:rFonts w:hint="eastAsia" w:ascii="宋体" w:hAnsi="Calibri" w:cs="宋体"/>
                <w:color w:val="000000"/>
                <w:kern w:val="0"/>
                <w:sz w:val="20"/>
                <w:szCs w:val="20"/>
                <w:lang w:val="en-US" w:eastAsia="zh-CN"/>
              </w:rPr>
              <w:t>-2008、</w:t>
            </w:r>
            <w:r>
              <w:rPr>
                <w:rFonts w:hint="eastAsia" w:ascii="宋体" w:hAnsi="Calibri" w:cs="宋体"/>
                <w:color w:val="000000"/>
                <w:kern w:val="0"/>
                <w:sz w:val="20"/>
                <w:szCs w:val="20"/>
              </w:rPr>
              <w:t>机械加工定位、夹紧符号JB</w:t>
            </w:r>
            <w:r>
              <w:rPr>
                <w:rFonts w:hint="eastAsia" w:ascii="宋体" w:hAnsi="Calibri" w:cs="宋体"/>
                <w:color w:val="000000"/>
                <w:kern w:val="0"/>
                <w:sz w:val="20"/>
                <w:szCs w:val="20"/>
                <w:lang w:val="en-US" w:eastAsia="zh-CN"/>
              </w:rPr>
              <w:t>/</w:t>
            </w:r>
            <w:r>
              <w:rPr>
                <w:rFonts w:hint="eastAsia" w:ascii="宋体" w:hAnsi="Calibri" w:cs="宋体"/>
                <w:color w:val="000000"/>
                <w:kern w:val="0"/>
                <w:sz w:val="20"/>
                <w:szCs w:val="20"/>
              </w:rPr>
              <w:t>T</w:t>
            </w:r>
            <w:r>
              <w:rPr>
                <w:rFonts w:hint="eastAsia" w:ascii="宋体" w:hAnsi="Calibri" w:cs="宋体"/>
                <w:color w:val="000000"/>
                <w:kern w:val="0"/>
                <w:sz w:val="20"/>
                <w:szCs w:val="20"/>
                <w:lang w:val="en-US" w:eastAsia="zh-CN"/>
              </w:rPr>
              <w:t xml:space="preserve"> </w:t>
            </w:r>
            <w:r>
              <w:rPr>
                <w:rFonts w:hint="eastAsia" w:ascii="宋体" w:hAnsi="Calibri" w:cs="宋体"/>
                <w:color w:val="000000"/>
                <w:kern w:val="0"/>
                <w:sz w:val="20"/>
                <w:szCs w:val="20"/>
              </w:rPr>
              <w:t>5061</w:t>
            </w:r>
            <w:r>
              <w:rPr>
                <w:rFonts w:hint="eastAsia" w:ascii="宋体" w:hAnsi="Calibri" w:cs="宋体"/>
                <w:color w:val="000000"/>
                <w:kern w:val="0"/>
                <w:sz w:val="20"/>
                <w:szCs w:val="20"/>
                <w:lang w:val="en-US" w:eastAsia="zh-CN"/>
              </w:rPr>
              <w:t>-2006、</w:t>
            </w:r>
            <w:r>
              <w:rPr>
                <w:rFonts w:hint="eastAsia" w:ascii="宋体" w:hAnsi="Calibri" w:cs="宋体"/>
                <w:color w:val="000000"/>
                <w:kern w:val="0"/>
                <w:sz w:val="20"/>
                <w:szCs w:val="20"/>
              </w:rPr>
              <w:t>械加工工艺守则JB</w:t>
            </w:r>
            <w:r>
              <w:rPr>
                <w:rFonts w:hint="eastAsia" w:ascii="宋体" w:hAnsi="Calibri" w:cs="宋体"/>
                <w:color w:val="000000"/>
                <w:kern w:val="0"/>
                <w:sz w:val="20"/>
                <w:szCs w:val="20"/>
                <w:lang w:val="en-US" w:eastAsia="zh-CN"/>
              </w:rPr>
              <w:t>/</w:t>
            </w:r>
            <w:r>
              <w:rPr>
                <w:rFonts w:hint="eastAsia" w:ascii="宋体" w:hAnsi="Calibri" w:cs="宋体"/>
                <w:color w:val="000000"/>
                <w:kern w:val="0"/>
                <w:sz w:val="20"/>
                <w:szCs w:val="20"/>
              </w:rPr>
              <w:t>T</w:t>
            </w:r>
            <w:r>
              <w:rPr>
                <w:rFonts w:hint="eastAsia" w:ascii="宋体" w:hAnsi="Calibri" w:cs="宋体"/>
                <w:color w:val="000000"/>
                <w:kern w:val="0"/>
                <w:sz w:val="20"/>
                <w:szCs w:val="20"/>
                <w:lang w:val="en-US" w:eastAsia="zh-CN"/>
              </w:rPr>
              <w:t xml:space="preserve"> </w:t>
            </w:r>
            <w:r>
              <w:rPr>
                <w:rFonts w:hint="eastAsia" w:ascii="宋体" w:hAnsi="Calibri" w:cs="宋体"/>
                <w:color w:val="000000"/>
                <w:kern w:val="0"/>
                <w:sz w:val="20"/>
                <w:szCs w:val="20"/>
              </w:rPr>
              <w:t>9168</w:t>
            </w:r>
            <w:r>
              <w:rPr>
                <w:rFonts w:hint="eastAsia" w:ascii="宋体" w:hAnsi="Calibri" w:cs="宋体"/>
                <w:color w:val="000000"/>
                <w:kern w:val="0"/>
                <w:sz w:val="20"/>
                <w:szCs w:val="20"/>
                <w:lang w:val="en-US" w:eastAsia="zh-CN"/>
              </w:rPr>
              <w:t>-2006</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2020年4月1日至2020年11月16日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17"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82"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717"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82"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jc w:val="center"/>
        </w:trPr>
        <w:tc>
          <w:tcPr>
            <w:tcW w:w="717"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82"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Cs w:val="21"/>
              </w:rPr>
              <w:t>强化过程控制，成就一流品质；增强客户满意，成就一流企业</w:t>
            </w: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717"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82"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6"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工矿机械设备及配件制造、销售（需资质许可要求的产品除外） </w:t>
            </w:r>
          </w:p>
          <w:p>
            <w:pPr>
              <w:tabs>
                <w:tab w:val="left" w:pos="540"/>
              </w:tabs>
              <w:spacing w:line="300" w:lineRule="exact"/>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焊接过程</w:t>
            </w:r>
          </w:p>
          <w:p>
            <w:pPr>
              <w:tabs>
                <w:tab w:val="left" w:pos="540"/>
              </w:tabs>
              <w:spacing w:line="300" w:lineRule="exact"/>
              <w:ind w:left="201" w:hanging="201" w:hangingChars="100"/>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b/>
                <w:color w:val="000000" w:themeColor="text1"/>
                <w:sz w:val="20"/>
                <w:szCs w:val="20"/>
                <w:lang w:eastAsia="zh-CN"/>
              </w:rPr>
              <w:t>焊接</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外包过程：  无</w:t>
            </w:r>
          </w:p>
          <w:p>
            <w:pPr>
              <w:spacing w:line="400" w:lineRule="exact"/>
              <w:rPr>
                <w:rFonts w:ascii="宋体" w:hAnsi="宋体"/>
                <w:b/>
                <w:color w:val="000000" w:themeColor="text1"/>
                <w:szCs w:val="21"/>
              </w:rPr>
            </w:pPr>
            <w:r>
              <w:rPr>
                <w:rFonts w:hint="eastAsia" w:ascii="宋体" w:hAnsi="宋体"/>
                <w:b/>
                <w:color w:val="000000" w:themeColor="text1"/>
                <w:sz w:val="20"/>
                <w:szCs w:val="20"/>
              </w:rPr>
              <w:t>不适用条款是 8.3</w:t>
            </w:r>
            <w:r>
              <w:rPr>
                <w:rFonts w:hint="eastAsia" w:ascii="宋体" w:hAnsi="宋体"/>
                <w:b/>
                <w:color w:val="000000" w:themeColor="text1"/>
                <w:sz w:val="20"/>
                <w:szCs w:val="20"/>
                <w:lang w:val="en-US" w:eastAsia="zh-CN"/>
              </w:rPr>
              <w:t>条款</w:t>
            </w:r>
            <w:r>
              <w:rPr>
                <w:rFonts w:hint="eastAsia" w:ascii="宋体" w:hAnsi="宋体"/>
                <w:b/>
                <w:color w:val="000000" w:themeColor="text1"/>
                <w:sz w:val="20"/>
                <w:szCs w:val="20"/>
              </w:rPr>
              <w:t>，不适用理由：</w:t>
            </w:r>
            <w:r>
              <w:rPr>
                <w:rFonts w:hint="eastAsia" w:ascii="宋体" w:hAnsi="宋体"/>
                <w:sz w:val="21"/>
                <w:szCs w:val="21"/>
              </w:rPr>
              <w:t>公司工矿机械设备及配件制造、销售依据国家成熟工艺,按</w:t>
            </w:r>
            <w:r>
              <w:rPr>
                <w:rFonts w:hint="eastAsia" w:ascii="宋体" w:hAnsi="宋体"/>
                <w:sz w:val="21"/>
                <w:szCs w:val="21"/>
                <w:lang w:eastAsia="zh-CN"/>
              </w:rPr>
              <w:t>客户要求及图纸进行</w:t>
            </w:r>
            <w:r>
              <w:rPr>
                <w:rFonts w:hint="eastAsia" w:ascii="宋体" w:hAnsi="宋体"/>
                <w:sz w:val="21"/>
                <w:szCs w:val="21"/>
                <w:lang w:val="en-US" w:eastAsia="zh-CN"/>
              </w:rPr>
              <w:t>加</w:t>
            </w:r>
            <w:r>
              <w:rPr>
                <w:rFonts w:hint="eastAsia" w:ascii="宋体" w:hAnsi="宋体"/>
                <w:sz w:val="21"/>
                <w:szCs w:val="21"/>
                <w:lang w:eastAsia="zh-CN"/>
              </w:rPr>
              <w:t>工</w:t>
            </w:r>
            <w:r>
              <w:rPr>
                <w:rFonts w:hint="eastAsia" w:ascii="宋体" w:hAnsi="宋体"/>
                <w:sz w:val="21"/>
                <w:szCs w:val="21"/>
              </w:rPr>
              <w:t>,因此标准8.3条款“产品和服务的设计和开发”要求不适用。公司确保不适用的质量管理体系的产品和服务的设计和开发要求，不影响组织确保产品和服务合格以及增强顾客满意的能力或责任。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3"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2"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1、年度培训计划完成率100％；</w:t>
            </w:r>
          </w:p>
          <w:p>
            <w:p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2、产品一次交验合格率≥95%；</w:t>
            </w:r>
          </w:p>
          <w:p>
            <w:pPr>
              <w:spacing w:line="400" w:lineRule="exact"/>
              <w:rPr>
                <w:rFonts w:ascii="宋体" w:hAnsi="宋体"/>
                <w:b/>
                <w:color w:val="000000" w:themeColor="text1"/>
              </w:rPr>
            </w:pPr>
            <w:r>
              <w:rPr>
                <w:rFonts w:hint="eastAsia" w:ascii="Times New Roman" w:hAnsi="Times New Roman" w:eastAsia="宋体" w:cs="Times New Roman"/>
                <w:szCs w:val="21"/>
                <w:lang w:val="en-US" w:eastAsia="zh-CN"/>
              </w:rPr>
              <w:t>3、顾客满意度≥90分。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4</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17"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82"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atLeast"/>
          <w:jc w:val="center"/>
        </w:trPr>
        <w:tc>
          <w:tcPr>
            <w:tcW w:w="717" w:type="dxa"/>
            <w:vMerge w:val="continue"/>
            <w:textDirection w:val="tbRlV"/>
            <w:vAlign w:val="center"/>
          </w:tcPr>
          <w:p>
            <w:pPr>
              <w:spacing w:line="240" w:lineRule="exact"/>
              <w:ind w:left="113" w:right="113"/>
              <w:jc w:val="center"/>
              <w:rPr>
                <w:b/>
                <w:color w:val="000000" w:themeColor="text1"/>
                <w:szCs w:val="21"/>
              </w:rPr>
            </w:pPr>
            <w:bookmarkStart w:id="21" w:name="_GoBack" w:colFirst="1" w:colLast="1"/>
          </w:p>
        </w:tc>
        <w:tc>
          <w:tcPr>
            <w:tcW w:w="9182" w:type="dxa"/>
          </w:tcPr>
          <w:p>
            <w:pPr>
              <w:spacing w:line="300" w:lineRule="exact"/>
              <w:rPr>
                <w:rFonts w:hint="eastAsia" w:ascii="宋体" w:hAnsi="宋体"/>
                <w:bCs/>
                <w:iCs/>
                <w:highlight w:val="none"/>
              </w:rPr>
            </w:pPr>
            <w:r>
              <w:rPr>
                <w:rFonts w:hint="eastAsia" w:ascii="宋体" w:hAnsi="宋体"/>
                <w:b/>
                <w:color w:val="000000" w:themeColor="text1"/>
                <w:sz w:val="20"/>
                <w:szCs w:val="20"/>
                <w:highlight w:val="none"/>
              </w:rPr>
              <w:t>设</w:t>
            </w:r>
            <w:r>
              <w:rPr>
                <w:rFonts w:hint="eastAsia" w:ascii="宋体" w:hAnsi="宋体"/>
                <w:bCs/>
                <w:iCs/>
                <w:highlight w:val="none"/>
              </w:rPr>
              <w:t>备设施（包括信息系统）、</w:t>
            </w:r>
          </w:p>
          <w:p>
            <w:pPr>
              <w:spacing w:line="300" w:lineRule="exact"/>
              <w:rPr>
                <w:rFonts w:ascii="宋体" w:hAnsi="宋体"/>
                <w:b/>
                <w:color w:val="000000" w:themeColor="text1"/>
                <w:sz w:val="20"/>
                <w:szCs w:val="20"/>
                <w:highlight w:val="none"/>
              </w:rPr>
            </w:pPr>
            <w:r>
              <w:rPr>
                <w:rFonts w:hint="eastAsia" w:ascii="宋体" w:hAnsi="宋体"/>
                <w:bCs/>
                <w:iCs/>
                <w:highlight w:val="none"/>
              </w:rPr>
              <w:t>厂房面积</w:t>
            </w:r>
            <w:r>
              <w:rPr>
                <w:rFonts w:hint="eastAsia" w:ascii="宋体" w:hAnsi="宋体"/>
                <w:bCs/>
                <w:iCs/>
                <w:highlight w:val="none"/>
                <w:lang w:val="en-US" w:eastAsia="zh-CN"/>
              </w:rPr>
              <w:t>1000</w:t>
            </w:r>
            <w:r>
              <w:rPr>
                <w:rFonts w:hint="eastAsia" w:ascii="宋体" w:hAnsi="宋体"/>
                <w:bCs/>
                <w:iCs/>
                <w:highlight w:val="none"/>
              </w:rPr>
              <w:t>平方米左右，库房</w:t>
            </w:r>
            <w:r>
              <w:rPr>
                <w:rFonts w:hint="eastAsia" w:ascii="宋体" w:hAnsi="宋体"/>
                <w:bCs/>
                <w:iCs/>
                <w:highlight w:val="none"/>
                <w:lang w:eastAsia="zh-CN"/>
              </w:rPr>
              <w:t>与生产场所分区</w:t>
            </w:r>
            <w:r>
              <w:rPr>
                <w:rFonts w:hint="eastAsia" w:ascii="宋体" w:hAnsi="宋体"/>
                <w:bCs/>
                <w:iCs/>
                <w:highlight w:val="none"/>
              </w:rPr>
              <w:t>，办公场所面积</w:t>
            </w:r>
            <w:r>
              <w:rPr>
                <w:rFonts w:hint="eastAsia" w:ascii="宋体" w:hAnsi="宋体"/>
                <w:bCs/>
                <w:iCs/>
                <w:highlight w:val="none"/>
                <w:lang w:val="en-US" w:eastAsia="zh-CN"/>
              </w:rPr>
              <w:t>400</w:t>
            </w:r>
            <w:r>
              <w:rPr>
                <w:rFonts w:hint="eastAsia" w:ascii="宋体" w:hAnsi="宋体"/>
                <w:bCs/>
                <w:iCs/>
                <w:highlight w:val="none"/>
              </w:rPr>
              <w:t>平方米左右.主要生产设备包括</w:t>
            </w:r>
            <w:r>
              <w:rPr>
                <w:rFonts w:hint="eastAsia" w:ascii="宋体" w:hAnsi="宋体"/>
                <w:bCs/>
                <w:iCs/>
                <w:highlight w:val="none"/>
                <w:lang w:eastAsia="zh-CN"/>
              </w:rPr>
              <w:t>：</w:t>
            </w:r>
            <w:r>
              <w:rPr>
                <w:rFonts w:hint="eastAsia" w:ascii="宋体" w:hAnsi="宋体" w:eastAsia="宋体" w:cs="Times New Roman"/>
                <w:szCs w:val="21"/>
                <w:highlight w:val="none"/>
              </w:rPr>
              <w:t>20普车</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立式车床</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卧式镗床</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立式升降铣床</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液压板料折弯机</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电焊机</w:t>
            </w:r>
            <w:r>
              <w:rPr>
                <w:rFonts w:hint="eastAsia" w:ascii="宋体" w:hAnsi="宋体" w:eastAsia="宋体" w:cs="Times New Roman"/>
                <w:szCs w:val="21"/>
                <w:highlight w:val="none"/>
                <w:lang w:val="en-US" w:eastAsia="zh-CN"/>
              </w:rPr>
              <w:t>等13台套</w:t>
            </w:r>
            <w:r>
              <w:rPr>
                <w:rFonts w:hint="eastAsia" w:ascii="宋体" w:hAnsi="宋体"/>
                <w:bCs/>
                <w:iCs/>
                <w:highlight w:val="none"/>
              </w:rPr>
              <w:t>等</w:t>
            </w:r>
            <w:r>
              <w:rPr>
                <w:rFonts w:hint="eastAsia" w:ascii="宋体" w:hAnsi="宋体"/>
                <w:bCs/>
                <w:iCs/>
                <w:highlight w:val="none"/>
                <w:lang w:eastAsia="zh-CN"/>
              </w:rPr>
              <w:t>，可以</w:t>
            </w:r>
            <w:r>
              <w:rPr>
                <w:rFonts w:hint="eastAsia" w:ascii="宋体" w:hAnsi="宋体"/>
                <w:bCs/>
                <w:iCs/>
                <w:highlight w:val="none"/>
              </w:rPr>
              <w:t>满足生产需要。对设备按月方式进行点检维护保养，并实施。特种设备：</w:t>
            </w:r>
            <w:r>
              <w:rPr>
                <w:rFonts w:hint="eastAsia" w:ascii="宋体" w:hAnsi="宋体"/>
                <w:bCs/>
                <w:iCs/>
                <w:highlight w:val="none"/>
                <w:lang w:val="en-US" w:eastAsia="zh-CN"/>
              </w:rPr>
              <w:t>无，</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17" w:type="dxa"/>
            <w:vMerge w:val="continue"/>
            <w:textDirection w:val="tbRlV"/>
            <w:vAlign w:val="center"/>
          </w:tcPr>
          <w:p>
            <w:pPr>
              <w:spacing w:line="240" w:lineRule="exact"/>
              <w:ind w:left="113" w:right="113"/>
              <w:jc w:val="center"/>
              <w:rPr>
                <w:b/>
                <w:color w:val="000000" w:themeColor="text1"/>
                <w:szCs w:val="21"/>
              </w:rPr>
            </w:pPr>
          </w:p>
        </w:tc>
        <w:tc>
          <w:tcPr>
            <w:tcW w:w="9182"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17" w:type="dxa"/>
            <w:vMerge w:val="continue"/>
            <w:textDirection w:val="tbRlV"/>
            <w:vAlign w:val="center"/>
          </w:tcPr>
          <w:p>
            <w:pPr>
              <w:spacing w:line="240" w:lineRule="exact"/>
              <w:ind w:left="113" w:right="113"/>
              <w:jc w:val="center"/>
              <w:rPr>
                <w:b/>
                <w:color w:val="000000" w:themeColor="text1"/>
                <w:szCs w:val="21"/>
              </w:rPr>
            </w:pPr>
          </w:p>
        </w:tc>
        <w:tc>
          <w:tcPr>
            <w:tcW w:w="9182"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highlight w:val="none"/>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jc w:val="center"/>
        </w:trPr>
        <w:tc>
          <w:tcPr>
            <w:tcW w:w="717" w:type="dxa"/>
            <w:vMerge w:val="continue"/>
            <w:textDirection w:val="tbRlV"/>
            <w:vAlign w:val="center"/>
          </w:tcPr>
          <w:p>
            <w:pPr>
              <w:spacing w:line="240" w:lineRule="exact"/>
              <w:ind w:left="113" w:right="113"/>
              <w:jc w:val="center"/>
              <w:rPr>
                <w:b/>
                <w:color w:val="000000" w:themeColor="text1"/>
                <w:szCs w:val="21"/>
              </w:rPr>
            </w:pPr>
          </w:p>
        </w:tc>
        <w:tc>
          <w:tcPr>
            <w:tcW w:w="9182"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17" w:type="dxa"/>
            <w:vMerge w:val="continue"/>
            <w:textDirection w:val="tbRlV"/>
            <w:vAlign w:val="center"/>
          </w:tcPr>
          <w:p>
            <w:pPr>
              <w:spacing w:line="240" w:lineRule="exact"/>
              <w:ind w:left="113" w:right="113"/>
              <w:jc w:val="center"/>
              <w:rPr>
                <w:b/>
                <w:color w:val="000000" w:themeColor="text1"/>
                <w:szCs w:val="21"/>
              </w:rPr>
            </w:pPr>
          </w:p>
        </w:tc>
        <w:tc>
          <w:tcPr>
            <w:tcW w:w="9182"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17" w:type="dxa"/>
            <w:vMerge w:val="continue"/>
            <w:textDirection w:val="tbRlV"/>
            <w:vAlign w:val="center"/>
          </w:tcPr>
          <w:p>
            <w:pPr>
              <w:spacing w:line="240" w:lineRule="exact"/>
              <w:ind w:left="113" w:right="113"/>
              <w:jc w:val="center"/>
              <w:rPr>
                <w:b/>
                <w:color w:val="000000" w:themeColor="text1"/>
                <w:szCs w:val="21"/>
              </w:rPr>
            </w:pPr>
          </w:p>
        </w:tc>
        <w:tc>
          <w:tcPr>
            <w:tcW w:w="9182"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jc w:val="center"/>
        </w:trPr>
        <w:tc>
          <w:tcPr>
            <w:tcW w:w="717"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82"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7" w:type="dxa"/>
            <w:vMerge w:val="continue"/>
            <w:vAlign w:val="center"/>
          </w:tcPr>
          <w:p>
            <w:pPr>
              <w:spacing w:line="240" w:lineRule="exact"/>
              <w:jc w:val="center"/>
              <w:rPr>
                <w:b/>
                <w:color w:val="000000" w:themeColor="text1"/>
                <w:szCs w:val="21"/>
              </w:rPr>
            </w:pPr>
          </w:p>
        </w:tc>
        <w:tc>
          <w:tcPr>
            <w:tcW w:w="9182"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17"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82"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jc w:val="center"/>
        </w:trPr>
        <w:tc>
          <w:tcPr>
            <w:tcW w:w="717" w:type="dxa"/>
            <w:vMerge w:val="continue"/>
            <w:textDirection w:val="tbRlV"/>
            <w:vAlign w:val="center"/>
          </w:tcPr>
          <w:p>
            <w:pPr>
              <w:spacing w:line="240" w:lineRule="exact"/>
              <w:ind w:left="113" w:right="113"/>
              <w:jc w:val="center"/>
              <w:rPr>
                <w:b/>
                <w:color w:val="000000" w:themeColor="text1"/>
                <w:szCs w:val="21"/>
              </w:rPr>
            </w:pPr>
          </w:p>
        </w:tc>
        <w:tc>
          <w:tcPr>
            <w:tcW w:w="9182"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96.5%</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717"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82"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w:t>
            </w:r>
            <w:r>
              <w:rPr>
                <w:rFonts w:hint="eastAsia" w:ascii="Times New Roman" w:hAnsi="Times New Roman" w:cs="Times New Roman"/>
                <w:szCs w:val="21"/>
              </w:rPr>
              <w:t>2020年9月20日 ～ 2020年9月21日</w:t>
            </w:r>
            <w:r>
              <w:rPr>
                <w:rFonts w:hint="eastAsia" w:ascii="宋体" w:hAnsi="宋体" w:cs="宋体"/>
                <w:color w:val="000000"/>
                <w:szCs w:val="21"/>
                <w:highlight w:val="none"/>
              </w:rPr>
              <w:t>，拟定了审核实施表，明确了内审范围，内审人员经培训合格上岗，能力满足要求，未出现审核本部门情况，内审不符合项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color w:val="000000"/>
                <w:szCs w:val="21"/>
                <w:highlight w:val="none"/>
                <w:lang w:val="en-US" w:eastAsia="zh-CN"/>
              </w:rPr>
              <w:t>涉及</w:t>
            </w:r>
            <w:r>
              <w:rPr>
                <w:rFonts w:hint="eastAsia" w:ascii="Times New Roman" w:hAnsi="Times New Roman" w:eastAsia="宋体" w:cs="Times New Roman"/>
                <w:szCs w:val="21"/>
                <w:lang w:val="en-US" w:eastAsia="zh-CN"/>
              </w:rPr>
              <w:t>综合部不符合9.1.2条款</w:t>
            </w:r>
            <w:r>
              <w:rPr>
                <w:rFonts w:hint="eastAsia" w:ascii="Times New Roman" w:hAnsi="Times New Roman" w:eastAsia="宋体" w:cs="Times New Roman"/>
                <w:szCs w:val="21"/>
              </w:rPr>
              <w:t>企业未建立2020年度的《顾客满意度调查》</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17"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82"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rPr>
              <w:t>20</w:t>
            </w:r>
            <w:r>
              <w:rPr>
                <w:rFonts w:hint="eastAsia" w:ascii="宋体" w:hAnsi="宋体"/>
                <w:kern w:val="0"/>
                <w:sz w:val="21"/>
                <w:szCs w:val="21"/>
                <w:highlight w:val="none"/>
                <w:lang w:val="en-US" w:eastAsia="zh-CN"/>
              </w:rPr>
              <w:t>20</w:t>
            </w:r>
            <w:r>
              <w:rPr>
                <w:rFonts w:hint="eastAsia" w:ascii="宋体" w:hAnsi="宋体"/>
                <w:kern w:val="0"/>
                <w:sz w:val="21"/>
                <w:szCs w:val="21"/>
                <w:highlight w:val="none"/>
              </w:rPr>
              <w:t>年</w:t>
            </w:r>
            <w:r>
              <w:rPr>
                <w:rFonts w:hint="eastAsia" w:ascii="宋体" w:hAnsi="宋体"/>
                <w:kern w:val="0"/>
                <w:sz w:val="21"/>
                <w:szCs w:val="21"/>
                <w:highlight w:val="none"/>
                <w:lang w:val="en-US" w:eastAsia="zh-CN"/>
              </w:rPr>
              <w:t>10</w:t>
            </w:r>
            <w:r>
              <w:rPr>
                <w:rFonts w:hint="eastAsia" w:ascii="宋体" w:hAnsi="宋体"/>
                <w:kern w:val="0"/>
                <w:sz w:val="21"/>
                <w:szCs w:val="21"/>
                <w:highlight w:val="none"/>
              </w:rPr>
              <w:t>月</w:t>
            </w:r>
            <w:r>
              <w:rPr>
                <w:rFonts w:hint="eastAsia" w:ascii="宋体" w:hAnsi="宋体"/>
                <w:kern w:val="0"/>
                <w:sz w:val="21"/>
                <w:szCs w:val="21"/>
                <w:highlight w:val="none"/>
                <w:lang w:val="en-US" w:eastAsia="zh-CN"/>
              </w:rPr>
              <w:t>14</w:t>
            </w:r>
            <w:r>
              <w:rPr>
                <w:rFonts w:hint="eastAsia" w:ascii="宋体" w:hAnsi="宋体"/>
                <w:kern w:val="0"/>
                <w:sz w:val="21"/>
                <w:szCs w:val="21"/>
                <w:highlight w:val="none"/>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717" w:type="dxa"/>
            <w:vMerge w:val="continue"/>
            <w:vAlign w:val="center"/>
          </w:tcPr>
          <w:p>
            <w:pPr>
              <w:spacing w:line="240" w:lineRule="exact"/>
              <w:jc w:val="center"/>
              <w:rPr>
                <w:b/>
                <w:color w:val="000000" w:themeColor="text1"/>
                <w:sz w:val="20"/>
              </w:rPr>
            </w:pPr>
          </w:p>
        </w:tc>
        <w:tc>
          <w:tcPr>
            <w:tcW w:w="9182"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17" w:type="dxa"/>
            <w:vMerge w:val="continue"/>
            <w:tcBorders>
              <w:bottom w:val="single" w:color="auto" w:sz="4" w:space="0"/>
            </w:tcBorders>
            <w:vAlign w:val="center"/>
          </w:tcPr>
          <w:p>
            <w:pPr>
              <w:spacing w:line="240" w:lineRule="exact"/>
              <w:jc w:val="center"/>
              <w:rPr>
                <w:b/>
                <w:color w:val="000000" w:themeColor="text1"/>
                <w:sz w:val="20"/>
              </w:rPr>
            </w:pPr>
          </w:p>
        </w:tc>
        <w:tc>
          <w:tcPr>
            <w:tcW w:w="9182"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5" w:hRule="atLeast"/>
          <w:jc w:val="center"/>
        </w:trPr>
        <w:tc>
          <w:tcPr>
            <w:tcW w:w="717"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82"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17" w:type="dxa"/>
            <w:vMerge w:val="continue"/>
            <w:vAlign w:val="center"/>
          </w:tcPr>
          <w:p>
            <w:pPr>
              <w:spacing w:line="240" w:lineRule="exact"/>
              <w:jc w:val="center"/>
              <w:rPr>
                <w:b/>
                <w:color w:val="000000" w:themeColor="text1"/>
                <w:sz w:val="20"/>
              </w:rPr>
            </w:pPr>
          </w:p>
        </w:tc>
        <w:tc>
          <w:tcPr>
            <w:tcW w:w="9182"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17" w:type="dxa"/>
            <w:vMerge w:val="continue"/>
            <w:vAlign w:val="center"/>
          </w:tcPr>
          <w:p>
            <w:pPr>
              <w:spacing w:line="240" w:lineRule="exact"/>
              <w:jc w:val="center"/>
              <w:rPr>
                <w:b/>
                <w:color w:val="000000" w:themeColor="text1"/>
                <w:sz w:val="20"/>
              </w:rPr>
            </w:pPr>
          </w:p>
        </w:tc>
        <w:tc>
          <w:tcPr>
            <w:tcW w:w="9182"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17" w:type="dxa"/>
            <w:vMerge w:val="continue"/>
            <w:vAlign w:val="center"/>
          </w:tcPr>
          <w:p>
            <w:pPr>
              <w:spacing w:line="240" w:lineRule="exact"/>
              <w:jc w:val="center"/>
              <w:rPr>
                <w:b/>
                <w:color w:val="000000" w:themeColor="text1"/>
                <w:sz w:val="20"/>
              </w:rPr>
            </w:pPr>
          </w:p>
        </w:tc>
        <w:tc>
          <w:tcPr>
            <w:tcW w:w="9182"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17" w:type="dxa"/>
            <w:vMerge w:val="continue"/>
            <w:vAlign w:val="center"/>
          </w:tcPr>
          <w:p>
            <w:pPr>
              <w:spacing w:line="240" w:lineRule="exact"/>
              <w:jc w:val="center"/>
              <w:rPr>
                <w:b/>
                <w:color w:val="000000" w:themeColor="text1"/>
                <w:sz w:val="20"/>
              </w:rPr>
            </w:pPr>
          </w:p>
        </w:tc>
        <w:tc>
          <w:tcPr>
            <w:tcW w:w="9182"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119"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4"/>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74"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45"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74"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45"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74"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45"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274"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45"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工矿机械设备及配件制造、销售（需资质许可要求的产品除外）</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765" w:firstLineChars="22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B48F4"/>
    <w:rsid w:val="03975955"/>
    <w:rsid w:val="03C85C69"/>
    <w:rsid w:val="06575AEF"/>
    <w:rsid w:val="08454FF8"/>
    <w:rsid w:val="0A936117"/>
    <w:rsid w:val="0B42318C"/>
    <w:rsid w:val="10B83E9A"/>
    <w:rsid w:val="138E13F0"/>
    <w:rsid w:val="144A73D1"/>
    <w:rsid w:val="16F100E3"/>
    <w:rsid w:val="18826624"/>
    <w:rsid w:val="1B0B2422"/>
    <w:rsid w:val="1C080C6C"/>
    <w:rsid w:val="1C3D64B8"/>
    <w:rsid w:val="22867062"/>
    <w:rsid w:val="27EE706D"/>
    <w:rsid w:val="2BA23829"/>
    <w:rsid w:val="2CDE3FED"/>
    <w:rsid w:val="2E2F28FA"/>
    <w:rsid w:val="2FBC0D82"/>
    <w:rsid w:val="2FDC7562"/>
    <w:rsid w:val="31B57EC2"/>
    <w:rsid w:val="333D37C3"/>
    <w:rsid w:val="35DF6FB2"/>
    <w:rsid w:val="37FD4D69"/>
    <w:rsid w:val="393B6BF4"/>
    <w:rsid w:val="40D56E89"/>
    <w:rsid w:val="42182FFE"/>
    <w:rsid w:val="42AE0261"/>
    <w:rsid w:val="42ED78AF"/>
    <w:rsid w:val="4A25457B"/>
    <w:rsid w:val="4A93726B"/>
    <w:rsid w:val="4F1A2F15"/>
    <w:rsid w:val="50CA255F"/>
    <w:rsid w:val="53592FCD"/>
    <w:rsid w:val="542451E4"/>
    <w:rsid w:val="557E0A67"/>
    <w:rsid w:val="560F0D99"/>
    <w:rsid w:val="56771906"/>
    <w:rsid w:val="568E3B5B"/>
    <w:rsid w:val="5AF1158D"/>
    <w:rsid w:val="5B9E38BD"/>
    <w:rsid w:val="5E241B2E"/>
    <w:rsid w:val="5FF45932"/>
    <w:rsid w:val="625E07F8"/>
    <w:rsid w:val="629F7A6D"/>
    <w:rsid w:val="63422A7A"/>
    <w:rsid w:val="6B920A2C"/>
    <w:rsid w:val="701E39D6"/>
    <w:rsid w:val="71771A4C"/>
    <w:rsid w:val="769C5F75"/>
    <w:rsid w:val="780E4542"/>
    <w:rsid w:val="7C5755DB"/>
    <w:rsid w:val="7E8711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afterLines="0"/>
    </w:pPr>
    <w:rPr>
      <w:kern w:val="2"/>
      <w:sz w:val="21"/>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2020-11-15T05:38:30Z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